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C6979">
      <w:pPr>
        <w:spacing w:line="240" w:lineRule="auto"/>
        <w:ind w:firstLine="2530" w:firstLineChars="1200"/>
        <w:jc w:val="both"/>
        <w:textAlignment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正心年级2024级政治必修2《经济与社会》课后练习</w:t>
      </w:r>
    </w:p>
    <w:p w14:paraId="0B5FD080">
      <w:pPr>
        <w:spacing w:line="240" w:lineRule="auto"/>
        <w:jc w:val="center"/>
        <w:textAlignment w:val="center"/>
        <w:rPr>
          <w:rFonts w:hint="eastAsia" w:ascii="宋体" w:hAnsi="宋体" w:eastAsia="宋体" w:cs="宋体"/>
          <w:sz w:val="21"/>
          <w:szCs w:val="21"/>
        </w:rPr>
      </w:pPr>
      <w:r>
        <w:rPr>
          <w:rFonts w:hint="eastAsia" w:ascii="宋体" w:hAnsi="宋体" w:eastAsia="宋体" w:cs="宋体"/>
          <w:b/>
          <w:bCs/>
          <w:sz w:val="21"/>
          <w:szCs w:val="21"/>
          <w:lang w:val="en-US" w:eastAsia="zh-CN"/>
        </w:rPr>
        <w:t>3.2 推动高质量发展</w:t>
      </w:r>
      <w:r>
        <w:rPr>
          <w:rFonts w:hint="eastAsia" w:ascii="宋体" w:hAnsi="宋体" w:eastAsia="宋体" w:cs="宋体"/>
          <w:b/>
          <w:color w:val="000000"/>
          <w:sz w:val="21"/>
          <w:szCs w:val="21"/>
        </w:rPr>
        <w:drawing>
          <wp:anchor distT="0" distB="0" distL="114300" distR="114300" simplePos="0" relativeHeight="251659264" behindDoc="0" locked="0" layoutInCell="1" allowOverlap="1">
            <wp:simplePos x="0" y="0"/>
            <wp:positionH relativeFrom="page">
              <wp:posOffset>11493500</wp:posOffset>
            </wp:positionH>
            <wp:positionV relativeFrom="topMargin">
              <wp:posOffset>11391900</wp:posOffset>
            </wp:positionV>
            <wp:extent cx="355600" cy="4953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7"/>
                    <a:stretch>
                      <a:fillRect/>
                    </a:stretch>
                  </pic:blipFill>
                  <pic:spPr>
                    <a:xfrm>
                      <a:off x="0" y="0"/>
                      <a:ext cx="355600" cy="495300"/>
                    </a:xfrm>
                    <a:prstGeom prst="rect">
                      <a:avLst/>
                    </a:prstGeom>
                  </pic:spPr>
                </pic:pic>
              </a:graphicData>
            </a:graphic>
          </wp:anchor>
        </w:drawing>
      </w:r>
    </w:p>
    <w:p w14:paraId="386C001A">
      <w:pPr>
        <w:spacing w:line="240" w:lineRule="auto"/>
        <w:jc w:val="left"/>
        <w:textAlignment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一、单选题</w:t>
      </w:r>
    </w:p>
    <w:p w14:paraId="224CAEA7">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近年来，“首发经济”展现出蓬勃发展态势。“首发经济”是指企业发布新产品，推出新业态、新模式、新服务、新技术，开设首店等经济活动的总称，涵盖了企业从产品或服务的首次发布、首次展出到首次落地开设门店、首次设立研发中心，再到设立企业总部的链式发展全过程。推进“首发经济”有利于（</w:t>
      </w:r>
      <w:r>
        <w:rPr>
          <w:rFonts w:hint="eastAsia" w:ascii="宋体" w:hAnsi="宋体" w:eastAsia="宋体" w:cs="宋体"/>
          <w:kern w:val="0"/>
          <w:sz w:val="21"/>
          <w:szCs w:val="21"/>
        </w:rPr>
        <w:t>   </w:t>
      </w:r>
      <w:r>
        <w:rPr>
          <w:rFonts w:hint="eastAsia" w:ascii="宋体" w:hAnsi="宋体" w:eastAsia="宋体" w:cs="宋体"/>
          <w:sz w:val="21"/>
          <w:szCs w:val="21"/>
        </w:rPr>
        <w:t>）</w:t>
      </w:r>
    </w:p>
    <w:p w14:paraId="46C531E7">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①通过供给侧结构性改革引领消费潮流、激发消费潜力</w:t>
      </w:r>
    </w:p>
    <w:p w14:paraId="70B6CE76">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②规范市场秩序，促进投资与需求良性互动</w:t>
      </w:r>
    </w:p>
    <w:p w14:paraId="281AF453">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③合理布局新兴产业，取代传统产业</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④汇聚创新要素，塑造发展新动能</w:t>
      </w:r>
    </w:p>
    <w:p w14:paraId="2D1BEC1F">
      <w:pPr>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A．①④</w:t>
      </w:r>
      <w:r>
        <w:rPr>
          <w:rFonts w:hint="eastAsia" w:ascii="宋体" w:hAnsi="宋体" w:eastAsia="宋体" w:cs="宋体"/>
          <w:sz w:val="21"/>
          <w:szCs w:val="21"/>
        </w:rPr>
        <w:tab/>
      </w:r>
      <w:r>
        <w:rPr>
          <w:rFonts w:hint="eastAsia" w:ascii="宋体" w:hAnsi="宋体" w:eastAsia="宋体" w:cs="宋体"/>
          <w:sz w:val="21"/>
          <w:szCs w:val="21"/>
        </w:rPr>
        <w:t>B．②③</w:t>
      </w:r>
      <w:r>
        <w:rPr>
          <w:rFonts w:hint="eastAsia" w:ascii="宋体" w:hAnsi="宋体" w:eastAsia="宋体" w:cs="宋体"/>
          <w:sz w:val="21"/>
          <w:szCs w:val="21"/>
        </w:rPr>
        <w:tab/>
      </w:r>
      <w:r>
        <w:rPr>
          <w:rFonts w:hint="eastAsia" w:ascii="宋体" w:hAnsi="宋体" w:eastAsia="宋体" w:cs="宋体"/>
          <w:sz w:val="21"/>
          <w:szCs w:val="21"/>
        </w:rPr>
        <w:t>C．①②</w:t>
      </w:r>
      <w:r>
        <w:rPr>
          <w:rFonts w:hint="eastAsia" w:ascii="宋体" w:hAnsi="宋体" w:eastAsia="宋体" w:cs="宋体"/>
          <w:sz w:val="21"/>
          <w:szCs w:val="21"/>
        </w:rPr>
        <w:tab/>
      </w:r>
      <w:r>
        <w:rPr>
          <w:rFonts w:hint="eastAsia" w:ascii="宋体" w:hAnsi="宋体" w:eastAsia="宋体" w:cs="宋体"/>
          <w:sz w:val="21"/>
          <w:szCs w:val="21"/>
        </w:rPr>
        <w:t>D．③④</w:t>
      </w:r>
    </w:p>
    <w:p w14:paraId="233E1E2E">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2．作为世界第二大经济体，中国通过坚定不移地推进供给侧结构性改革、深化市场化改革、加强知识产权保护、优化营商环境等一系列举措，正逐渐实现由规模扩张向质量提升的转变。这种转变（</w:t>
      </w:r>
      <w:r>
        <w:rPr>
          <w:rFonts w:hint="eastAsia" w:ascii="宋体" w:hAnsi="宋体" w:eastAsia="宋体" w:cs="宋体"/>
          <w:kern w:val="0"/>
          <w:sz w:val="21"/>
          <w:szCs w:val="21"/>
        </w:rPr>
        <w:t>    </w:t>
      </w:r>
      <w:r>
        <w:rPr>
          <w:rFonts w:hint="eastAsia" w:ascii="宋体" w:hAnsi="宋体" w:eastAsia="宋体" w:cs="宋体"/>
          <w:sz w:val="21"/>
          <w:szCs w:val="21"/>
        </w:rPr>
        <w:t>）</w:t>
      </w:r>
    </w:p>
    <w:p w14:paraId="7FEF7D8C">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A．表明改革开放为中国发展奠定了根本政治前提</w:t>
      </w:r>
    </w:p>
    <w:p w14:paraId="478D7C7E">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B．凸显了中国是推动世界经济复苏的决定性力量</w:t>
      </w:r>
    </w:p>
    <w:p w14:paraId="19EDC4D8">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C．说明改革开放能使我国迅速发展，超过发达国家</w:t>
      </w:r>
    </w:p>
    <w:p w14:paraId="51A5487E">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D．为中国经济高质量发展注入了持续增长的动力</w:t>
      </w:r>
    </w:p>
    <w:p w14:paraId="4CDAE230">
      <w:pPr>
        <w:spacing w:line="240" w:lineRule="auto"/>
        <w:jc w:val="left"/>
        <w:textAlignment w:val="center"/>
        <w:rPr>
          <w:rFonts w:hint="eastAsia" w:ascii="宋体" w:hAnsi="宋体" w:eastAsia="宋体" w:cs="宋体"/>
          <w:sz w:val="21"/>
          <w:szCs w:val="21"/>
        </w:rPr>
      </w:pPr>
      <w:r>
        <w:rPr>
          <w:rFonts w:hint="eastAsia" w:ascii="宋体" w:hAnsi="宋体" w:eastAsia="宋体" w:cs="宋体"/>
          <w:kern w:val="0"/>
          <w:sz w:val="21"/>
          <w:szCs w:val="21"/>
        </w:rPr>
        <w:drawing>
          <wp:anchor distT="0" distB="0" distL="0" distR="0" simplePos="0" relativeHeight="251660288" behindDoc="1" locked="0" layoutInCell="1" allowOverlap="1">
            <wp:simplePos x="0" y="0"/>
            <wp:positionH relativeFrom="column">
              <wp:posOffset>904875</wp:posOffset>
            </wp:positionH>
            <wp:positionV relativeFrom="paragraph">
              <wp:posOffset>90170</wp:posOffset>
            </wp:positionV>
            <wp:extent cx="4486275" cy="1200150"/>
            <wp:effectExtent l="0" t="0" r="9525" b="0"/>
            <wp:wrapTight wrapText="bothSides">
              <wp:wrapPolygon>
                <wp:start x="0" y="686"/>
                <wp:lineTo x="0" y="21257"/>
                <wp:lineTo x="21554" y="21257"/>
                <wp:lineTo x="21554" y="686"/>
                <wp:lineTo x="0" y="686"/>
              </wp:wrapPolygon>
            </wp:wrapTight>
            <wp:docPr id="100003" name="图片 100003" descr="@@@ec5dbf41-9930-46ce-bad2-999d4f44ce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ec5dbf41-9930-46ce-bad2-999d4f44cebd"/>
                    <pic:cNvPicPr>
                      <a:picLocks noChangeAspect="1"/>
                    </pic:cNvPicPr>
                  </pic:nvPicPr>
                  <pic:blipFill>
                    <a:blip r:embed="rId8"/>
                    <a:stretch>
                      <a:fillRect/>
                    </a:stretch>
                  </pic:blipFill>
                  <pic:spPr>
                    <a:xfrm>
                      <a:off x="0" y="0"/>
                      <a:ext cx="4486275" cy="1200150"/>
                    </a:xfrm>
                    <a:prstGeom prst="rect">
                      <a:avLst/>
                    </a:prstGeom>
                  </pic:spPr>
                </pic:pic>
              </a:graphicData>
            </a:graphic>
          </wp:anchor>
        </w:drawing>
      </w:r>
      <w:r>
        <w:rPr>
          <w:rFonts w:hint="eastAsia" w:ascii="宋体" w:hAnsi="宋体" w:eastAsia="宋体" w:cs="宋体"/>
          <w:sz w:val="21"/>
          <w:szCs w:val="21"/>
        </w:rPr>
        <w:t>3．读图。</w:t>
      </w:r>
    </w:p>
    <w:p w14:paraId="0424322B">
      <w:pPr>
        <w:spacing w:line="240" w:lineRule="auto"/>
        <w:textAlignment w:val="center"/>
        <w:rPr>
          <w:rFonts w:hint="eastAsia" w:ascii="宋体" w:hAnsi="宋体" w:eastAsia="宋体" w:cs="宋体"/>
          <w:sz w:val="21"/>
          <w:szCs w:val="21"/>
        </w:rPr>
      </w:pPr>
    </w:p>
    <w:p w14:paraId="207EEC1B">
      <w:pPr>
        <w:spacing w:line="240" w:lineRule="auto"/>
        <w:jc w:val="left"/>
        <w:textAlignment w:val="center"/>
        <w:rPr>
          <w:rFonts w:hint="eastAsia" w:ascii="宋体" w:hAnsi="宋体" w:eastAsia="宋体" w:cs="宋体"/>
          <w:sz w:val="21"/>
          <w:szCs w:val="21"/>
        </w:rPr>
      </w:pPr>
    </w:p>
    <w:p w14:paraId="3AE6C165">
      <w:pPr>
        <w:spacing w:line="240" w:lineRule="auto"/>
        <w:jc w:val="left"/>
        <w:textAlignment w:val="center"/>
        <w:rPr>
          <w:rFonts w:hint="eastAsia" w:ascii="宋体" w:hAnsi="宋体" w:eastAsia="宋体" w:cs="宋体"/>
          <w:sz w:val="21"/>
          <w:szCs w:val="21"/>
        </w:rPr>
      </w:pPr>
    </w:p>
    <w:p w14:paraId="6EE17541">
      <w:pPr>
        <w:spacing w:line="240" w:lineRule="auto"/>
        <w:jc w:val="left"/>
        <w:textAlignment w:val="center"/>
        <w:rPr>
          <w:rFonts w:hint="eastAsia" w:ascii="宋体" w:hAnsi="宋体" w:eastAsia="宋体" w:cs="宋体"/>
          <w:sz w:val="21"/>
          <w:szCs w:val="21"/>
        </w:rPr>
      </w:pPr>
    </w:p>
    <w:p w14:paraId="53430A6F">
      <w:pPr>
        <w:spacing w:line="240" w:lineRule="auto"/>
        <w:jc w:val="left"/>
        <w:textAlignment w:val="center"/>
        <w:rPr>
          <w:rFonts w:hint="eastAsia" w:ascii="宋体" w:hAnsi="宋体" w:eastAsia="宋体" w:cs="宋体"/>
          <w:sz w:val="21"/>
          <w:szCs w:val="21"/>
        </w:rPr>
      </w:pPr>
    </w:p>
    <w:p w14:paraId="102C5105">
      <w:pPr>
        <w:spacing w:line="240" w:lineRule="auto"/>
        <w:jc w:val="left"/>
        <w:textAlignment w:val="center"/>
        <w:rPr>
          <w:rFonts w:hint="eastAsia" w:ascii="宋体" w:hAnsi="宋体" w:eastAsia="宋体" w:cs="宋体"/>
          <w:sz w:val="21"/>
          <w:szCs w:val="21"/>
        </w:rPr>
      </w:pPr>
    </w:p>
    <w:p w14:paraId="7BA55038">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注：规模以上装备制造业增加值同比增长8.6%，半导体器件专用设备制造、集成电路制造、智能无人飞行器制造行业增加值分别增长41.2%、21.6%、18.2%。</w:t>
      </w:r>
    </w:p>
    <w:p w14:paraId="100361D1">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材料表明（</w:t>
      </w:r>
      <w:r>
        <w:rPr>
          <w:rFonts w:hint="eastAsia" w:ascii="宋体" w:hAnsi="宋体" w:eastAsia="宋体" w:cs="宋体"/>
          <w:kern w:val="0"/>
          <w:sz w:val="21"/>
          <w:szCs w:val="21"/>
        </w:rPr>
        <w:t>   </w:t>
      </w:r>
      <w:r>
        <w:rPr>
          <w:rFonts w:hint="eastAsia" w:ascii="宋体" w:hAnsi="宋体" w:eastAsia="宋体" w:cs="宋体"/>
          <w:sz w:val="21"/>
          <w:szCs w:val="21"/>
        </w:rPr>
        <w:t>）</w:t>
      </w:r>
    </w:p>
    <w:p w14:paraId="7549E1FF">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①工业生产较快增长，延续了回升向好态势</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②坚持协调发展理念，发展整体性不断增强</w:t>
      </w:r>
    </w:p>
    <w:p w14:paraId="18C4C707">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③科技创新在经济高质量发展中的贡献提高</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④供给侧结构性改革的重点是发展新兴产业</w:t>
      </w:r>
    </w:p>
    <w:p w14:paraId="50140B3E">
      <w:pPr>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A．①③</w:t>
      </w:r>
      <w:r>
        <w:rPr>
          <w:rFonts w:hint="eastAsia" w:ascii="宋体" w:hAnsi="宋体" w:eastAsia="宋体" w:cs="宋体"/>
          <w:sz w:val="21"/>
          <w:szCs w:val="21"/>
        </w:rPr>
        <w:tab/>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eastAsia="宋体" w:cs="宋体"/>
          <w:sz w:val="21"/>
          <w:szCs w:val="21"/>
        </w:rPr>
        <w:tab/>
      </w:r>
      <w:r>
        <w:rPr>
          <w:rFonts w:hint="eastAsia" w:ascii="宋体" w:hAnsi="宋体" w:eastAsia="宋体" w:cs="宋体"/>
          <w:sz w:val="21"/>
          <w:szCs w:val="21"/>
        </w:rPr>
        <w:t>D．②④</w:t>
      </w:r>
    </w:p>
    <w:p w14:paraId="2C00301A">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4．2024年8月8日，迎来了第十六个全民健身日。足球场上，小选手们你来我往，竞争激烈；体育馆中，篮球和羽毛球场地人头攒动，运动氛围浓厚；园区里，太极扇、八段锦等传统体育项目也吸引了不少健身爱好者参与。线下活动如火如荼地开展，线上活动同样精彩纷呈，最大程度贴近群众、降低参赛门槛，为人们提供更多健身选择。全民健身的开展可以（  ）</w:t>
      </w:r>
    </w:p>
    <w:p w14:paraId="6A314B4E">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①丰富体育服务供给，实现城乡公共服务平均化</w:t>
      </w:r>
      <w:r>
        <w:rPr>
          <w:rFonts w:hint="eastAsia" w:ascii="宋体" w:hAnsi="宋体" w:cs="宋体"/>
          <w:sz w:val="21"/>
          <w:szCs w:val="21"/>
          <w:lang w:val="en-US" w:eastAsia="zh-CN"/>
        </w:rPr>
        <w:t xml:space="preserve">   </w:t>
      </w:r>
      <w:r>
        <w:rPr>
          <w:rFonts w:hint="eastAsia" w:ascii="宋体" w:hAnsi="宋体" w:eastAsia="宋体" w:cs="宋体"/>
          <w:sz w:val="21"/>
          <w:szCs w:val="21"/>
        </w:rPr>
        <w:t>②增加体育用品支出，推动居民消费结构优化</w:t>
      </w:r>
    </w:p>
    <w:p w14:paraId="539A9D5A">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③赋能体育强国建设，推动区域经济协调发展</w:t>
      </w:r>
      <w:r>
        <w:rPr>
          <w:rFonts w:hint="eastAsia" w:ascii="宋体" w:hAnsi="宋体" w:cs="宋体"/>
          <w:sz w:val="21"/>
          <w:szCs w:val="21"/>
          <w:lang w:val="en-US" w:eastAsia="zh-CN"/>
        </w:rPr>
        <w:t xml:space="preserve">     </w:t>
      </w:r>
      <w:r>
        <w:rPr>
          <w:rFonts w:hint="eastAsia" w:ascii="宋体" w:hAnsi="宋体" w:eastAsia="宋体" w:cs="宋体"/>
          <w:sz w:val="21"/>
          <w:szCs w:val="21"/>
        </w:rPr>
        <w:t>④拓展体育消费场景，添彩人民美好生活需要</w:t>
      </w:r>
    </w:p>
    <w:p w14:paraId="6D936C32">
      <w:pPr>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rPr>
        <w:tab/>
      </w:r>
      <w:r>
        <w:rPr>
          <w:rFonts w:hint="eastAsia" w:ascii="宋体" w:hAnsi="宋体" w:eastAsia="宋体" w:cs="宋体"/>
          <w:sz w:val="21"/>
          <w:szCs w:val="21"/>
        </w:rPr>
        <w:t>B．①③</w:t>
      </w:r>
      <w:r>
        <w:rPr>
          <w:rFonts w:hint="eastAsia" w:ascii="宋体" w:hAnsi="宋体" w:eastAsia="宋体" w:cs="宋体"/>
          <w:sz w:val="21"/>
          <w:szCs w:val="21"/>
        </w:rPr>
        <w:tab/>
      </w:r>
      <w:r>
        <w:rPr>
          <w:rFonts w:hint="eastAsia" w:ascii="宋体" w:hAnsi="宋体" w:eastAsia="宋体" w:cs="宋体"/>
          <w:sz w:val="21"/>
          <w:szCs w:val="21"/>
        </w:rPr>
        <w:t>C．②④</w:t>
      </w:r>
      <w:r>
        <w:rPr>
          <w:rFonts w:hint="eastAsia" w:ascii="宋体" w:hAnsi="宋体" w:eastAsia="宋体" w:cs="宋体"/>
          <w:sz w:val="21"/>
          <w:szCs w:val="21"/>
        </w:rPr>
        <w:tab/>
      </w:r>
      <w:r>
        <w:rPr>
          <w:rFonts w:hint="eastAsia" w:ascii="宋体" w:hAnsi="宋体" w:eastAsia="宋体" w:cs="宋体"/>
          <w:sz w:val="21"/>
          <w:szCs w:val="21"/>
        </w:rPr>
        <w:t>D．③④</w:t>
      </w:r>
    </w:p>
    <w:p w14:paraId="4BAAB4F9">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5．2023年4月，我国制造业采购经理指数（PMI）为49.2%，比上月下降2.7个百分点，低于临界点。部分指标对比如下：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85"/>
        <w:gridCol w:w="960"/>
        <w:gridCol w:w="1140"/>
        <w:gridCol w:w="1067"/>
        <w:gridCol w:w="1035"/>
        <w:gridCol w:w="1380"/>
        <w:gridCol w:w="1200"/>
      </w:tblGrid>
      <w:tr w14:paraId="4012D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46"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ED8334">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指标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CF5E6C">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生产指数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662AE1">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新订单指数</w:t>
            </w:r>
          </w:p>
        </w:tc>
        <w:tc>
          <w:tcPr>
            <w:tcW w:w="106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87C4D2">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原材料库存指数</w:t>
            </w:r>
          </w:p>
        </w:tc>
        <w:tc>
          <w:tcPr>
            <w:tcW w:w="1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965FEA">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出厂价格指数</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EA739E">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供应商配送时间指数</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62458B">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采购量指数</w:t>
            </w:r>
          </w:p>
        </w:tc>
      </w:tr>
      <w:tr w14:paraId="5BDD4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06"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620874">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2023年3月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EB1346">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54.6%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4F22B2">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53.6%</w:t>
            </w:r>
          </w:p>
        </w:tc>
        <w:tc>
          <w:tcPr>
            <w:tcW w:w="106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F2DE56">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48.3%</w:t>
            </w:r>
          </w:p>
        </w:tc>
        <w:tc>
          <w:tcPr>
            <w:tcW w:w="1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48414A">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48.6%</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FD88A1">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50.8%</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6F4CAD">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53.5%</w:t>
            </w:r>
          </w:p>
        </w:tc>
      </w:tr>
      <w:tr w14:paraId="2D152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7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0F3A6D">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2023年4月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413CA5">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50.2%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C03FA4">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48.8%</w:t>
            </w:r>
          </w:p>
        </w:tc>
        <w:tc>
          <w:tcPr>
            <w:tcW w:w="106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5624D0">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47.9%</w:t>
            </w:r>
          </w:p>
        </w:tc>
        <w:tc>
          <w:tcPr>
            <w:tcW w:w="1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CEF5CF">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44.9%</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B8F384">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50.3%</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631B26">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49.1%</w:t>
            </w:r>
          </w:p>
        </w:tc>
      </w:tr>
    </w:tbl>
    <w:p w14:paraId="20A909A9">
      <w:pPr>
        <w:spacing w:line="240" w:lineRule="auto"/>
        <w:jc w:val="left"/>
        <w:textAlignment w:val="center"/>
        <w:rPr>
          <w:rFonts w:hint="eastAsia" w:ascii="宋体" w:hAnsi="宋体" w:eastAsia="宋体" w:cs="宋体"/>
          <w:sz w:val="18"/>
          <w:szCs w:val="18"/>
        </w:rPr>
      </w:pPr>
      <w:r>
        <w:rPr>
          <w:rFonts w:hint="eastAsia" w:ascii="宋体" w:hAnsi="宋体" w:eastAsia="宋体" w:cs="宋体"/>
          <w:sz w:val="18"/>
          <w:szCs w:val="18"/>
        </w:rPr>
        <w:t>注：50%是荣枯线。当指数高于荣枯线时，说明经济在发展；反之，说明经济在衰退。</w:t>
      </w:r>
    </w:p>
    <w:p w14:paraId="0FE451B8">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与2023年3月相比，2023年4月（  ）</w:t>
      </w:r>
    </w:p>
    <w:p w14:paraId="6BED056F">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①生产继续扩张而市场需求出现回落</w:t>
      </w:r>
      <w:r>
        <w:rPr>
          <w:rFonts w:hint="eastAsia" w:ascii="宋体" w:hAnsi="宋体" w:eastAsia="宋体" w:cs="宋体"/>
          <w:kern w:val="0"/>
          <w:sz w:val="21"/>
          <w:szCs w:val="21"/>
        </w:rPr>
        <w:t>   </w:t>
      </w:r>
      <w:r>
        <w:rPr>
          <w:rFonts w:hint="eastAsia" w:ascii="宋体" w:hAnsi="宋体" w:eastAsia="宋体" w:cs="宋体"/>
          <w:kern w:val="0"/>
          <w:sz w:val="21"/>
          <w:szCs w:val="21"/>
          <w:lang w:val="en-US" w:eastAsia="zh-CN"/>
        </w:rPr>
        <w:t xml:space="preserve">  </w:t>
      </w:r>
      <w:r>
        <w:rPr>
          <w:rFonts w:hint="eastAsia" w:ascii="宋体" w:hAnsi="宋体" w:eastAsia="宋体" w:cs="宋体"/>
          <w:sz w:val="21"/>
          <w:szCs w:val="21"/>
        </w:rPr>
        <w:t>②制造业原材料供应商交货时间延迟</w:t>
      </w:r>
    </w:p>
    <w:p w14:paraId="4C9E97B0">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③制造业主要原材料越来越趋于饱和</w:t>
      </w:r>
      <w:r>
        <w:rPr>
          <w:rFonts w:hint="eastAsia" w:ascii="宋体" w:hAnsi="宋体" w:eastAsia="宋体" w:cs="宋体"/>
          <w:kern w:val="0"/>
          <w:sz w:val="21"/>
          <w:szCs w:val="21"/>
        </w:rPr>
        <w:t>   </w:t>
      </w:r>
      <w:r>
        <w:rPr>
          <w:rFonts w:hint="eastAsia" w:ascii="宋体" w:hAnsi="宋体" w:eastAsia="宋体" w:cs="宋体"/>
          <w:kern w:val="0"/>
          <w:sz w:val="21"/>
          <w:szCs w:val="21"/>
          <w:lang w:val="en-US" w:eastAsia="zh-CN"/>
        </w:rPr>
        <w:t xml:space="preserve">  </w:t>
      </w:r>
      <w:r>
        <w:rPr>
          <w:rFonts w:hint="eastAsia" w:ascii="宋体" w:hAnsi="宋体" w:eastAsia="宋体" w:cs="宋体"/>
          <w:sz w:val="21"/>
          <w:szCs w:val="21"/>
        </w:rPr>
        <w:t>④价格水平波动较大，企业采购意愿减弱</w:t>
      </w:r>
    </w:p>
    <w:p w14:paraId="7B2E18F8">
      <w:pPr>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A．①③</w:t>
      </w:r>
      <w:r>
        <w:rPr>
          <w:rFonts w:hint="eastAsia" w:ascii="宋体" w:hAnsi="宋体" w:eastAsia="宋体" w:cs="宋体"/>
          <w:sz w:val="21"/>
          <w:szCs w:val="21"/>
        </w:rPr>
        <w:tab/>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eastAsia="宋体" w:cs="宋体"/>
          <w:sz w:val="21"/>
          <w:szCs w:val="21"/>
        </w:rPr>
        <w:tab/>
      </w:r>
      <w:r>
        <w:rPr>
          <w:rFonts w:hint="eastAsia" w:ascii="宋体" w:hAnsi="宋体" w:eastAsia="宋体" w:cs="宋体"/>
          <w:sz w:val="21"/>
          <w:szCs w:val="21"/>
        </w:rPr>
        <w:t>D．②④</w:t>
      </w:r>
    </w:p>
    <w:p w14:paraId="3280E0B9">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6．2024年《政府工作报告》提出，从2024年开始拟连续几年发行超长期特别国债，专项用于国家重大战略实施和重点领域安全能力建设。此次国家发行超长期特别国债（  ）</w:t>
      </w:r>
    </w:p>
    <w:p w14:paraId="6B0B6695">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①是运用货币政策，增加市场流动性</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②旨在拓宽企业融资渠道，提振市场主体信心</w:t>
      </w:r>
    </w:p>
    <w:p w14:paraId="4180987A">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③通过优化财政支出结构，促进经济高质量发展</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④有利于扩大总需求，优化供给结构</w:t>
      </w:r>
    </w:p>
    <w:p w14:paraId="7D6656EF">
      <w:pPr>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rPr>
        <w:tab/>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eastAsia="宋体" w:cs="宋体"/>
          <w:sz w:val="21"/>
          <w:szCs w:val="21"/>
        </w:rPr>
        <w:tab/>
      </w:r>
      <w:r>
        <w:rPr>
          <w:rFonts w:hint="eastAsia" w:ascii="宋体" w:hAnsi="宋体" w:eastAsia="宋体" w:cs="宋体"/>
          <w:sz w:val="21"/>
          <w:szCs w:val="21"/>
        </w:rPr>
        <w:t>D．③④</w:t>
      </w:r>
    </w:p>
    <w:p w14:paraId="5A220E20">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7．国家发展改革委等五部门印发通知，确定在广东省深圳市等10个地区联合开展数字化绿色化协同转型发展综合试点。试点工作将重点围绕数字产业绿色低碳发展双化协同产业孵化创新等方面探索可复制、可推广经验。国家开展以上综合试点（  ）</w:t>
      </w:r>
    </w:p>
    <w:p w14:paraId="6D996D8D">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 xml:space="preserve">①是实施产业政策履行经济职能的体现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②表明我国数字化绿色化是同步发展的    </w:t>
      </w:r>
    </w:p>
    <w:p w14:paraId="2A509C44">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 xml:space="preserve">③是新时代转换经济发展动能的新探索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④旨在防止市场失灵，使经济重回正轨</w:t>
      </w:r>
    </w:p>
    <w:p w14:paraId="718796D8">
      <w:pPr>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A．①③</w:t>
      </w:r>
      <w:r>
        <w:rPr>
          <w:rFonts w:hint="eastAsia" w:ascii="宋体" w:hAnsi="宋体" w:eastAsia="宋体" w:cs="宋体"/>
          <w:sz w:val="21"/>
          <w:szCs w:val="21"/>
        </w:rPr>
        <w:tab/>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eastAsia="宋体" w:cs="宋体"/>
          <w:sz w:val="21"/>
          <w:szCs w:val="21"/>
        </w:rPr>
        <w:tab/>
      </w:r>
      <w:r>
        <w:rPr>
          <w:rFonts w:hint="eastAsia" w:ascii="宋体" w:hAnsi="宋体" w:eastAsia="宋体" w:cs="宋体"/>
          <w:sz w:val="21"/>
          <w:szCs w:val="21"/>
        </w:rPr>
        <w:t>D．②④</w:t>
      </w:r>
    </w:p>
    <w:p w14:paraId="79B2DADF">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8．2024年3月，国务院印发的《推动大规模设备更新和消费品以旧换新行动方案》明确了实施设备更新行动、实施消费品以旧换新行动、实施回收循环利用行动、实施标准提升行动、强化政策保障等5方面20项重点任务。下列关于这一方案实施效应传导正确的是（  ）</w:t>
      </w:r>
    </w:p>
    <w:p w14:paraId="5D838755">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①开展汽车、家电产品以旧换新→汽车、家电产品使用年限增加→居民消费负担降低</w:t>
      </w:r>
    </w:p>
    <w:p w14:paraId="19EBBE7E">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②加快市政基础设施领域设备更新→市政基础设施投入增加→国内投资性需求扩大</w:t>
      </w:r>
    </w:p>
    <w:p w14:paraId="03F7AFDC">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③加快完善能耗、排放标准→推动能源节约与环境保护→厚植高质量发展绿色底色</w:t>
      </w:r>
    </w:p>
    <w:p w14:paraId="5022345B">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④支持二手商品流通交易→抑制居民的耐用品消费需求→推动资源高水平再生利用</w:t>
      </w:r>
    </w:p>
    <w:p w14:paraId="4B3F720E">
      <w:pPr>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rPr>
        <w:tab/>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eastAsia="宋体" w:cs="宋体"/>
          <w:sz w:val="21"/>
          <w:szCs w:val="21"/>
        </w:rPr>
        <w:tab/>
      </w:r>
      <w:r>
        <w:rPr>
          <w:rFonts w:hint="eastAsia" w:ascii="宋体" w:hAnsi="宋体" w:eastAsia="宋体" w:cs="宋体"/>
          <w:sz w:val="21"/>
          <w:szCs w:val="21"/>
        </w:rPr>
        <w:t>D．③④</w:t>
      </w:r>
    </w:p>
    <w:p w14:paraId="5C076B9C">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9．随着无人机广泛应用于地理测绘、影视航拍、山地救援等领域，“联飞快送”“空中观光”等“无人机技术+”业务涌现，低空经济成为发展新引擎。2024年，低空经济首次被写入政府工作报告。国家重视发展低空经济的原因是（</w:t>
      </w:r>
      <w:r>
        <w:rPr>
          <w:rFonts w:hint="eastAsia" w:ascii="宋体" w:hAnsi="宋体" w:eastAsia="宋体" w:cs="宋体"/>
          <w:kern w:val="0"/>
          <w:sz w:val="21"/>
          <w:szCs w:val="21"/>
        </w:rPr>
        <w:t>   </w:t>
      </w:r>
      <w:r>
        <w:rPr>
          <w:rFonts w:hint="eastAsia" w:ascii="宋体" w:hAnsi="宋体" w:eastAsia="宋体" w:cs="宋体"/>
          <w:sz w:val="21"/>
          <w:szCs w:val="21"/>
        </w:rPr>
        <w:t>）</w:t>
      </w:r>
    </w:p>
    <w:p w14:paraId="6AF38E86">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①低空运输受自然气候条件的影响小</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②中国在低空经济领域具有成本优势</w:t>
      </w:r>
    </w:p>
    <w:p w14:paraId="17FF6B83">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③低空经济的关联产业多，有利于技术集成创新</w:t>
      </w:r>
      <w:r>
        <w:rPr>
          <w:rFonts w:hint="eastAsia" w:ascii="宋体" w:hAnsi="宋体" w:cs="宋体"/>
          <w:sz w:val="21"/>
          <w:szCs w:val="21"/>
          <w:lang w:val="en-US" w:eastAsia="zh-CN"/>
        </w:rPr>
        <w:t xml:space="preserve">  </w:t>
      </w:r>
      <w:r>
        <w:rPr>
          <w:rFonts w:hint="eastAsia" w:ascii="宋体" w:hAnsi="宋体" w:eastAsia="宋体" w:cs="宋体"/>
          <w:sz w:val="21"/>
          <w:szCs w:val="21"/>
        </w:rPr>
        <w:t>④低空经济对战略性新兴产业发展有重要推动作用</w:t>
      </w:r>
    </w:p>
    <w:p w14:paraId="3CCC4214">
      <w:pPr>
        <w:tabs>
          <w:tab w:val="left" w:pos="2078"/>
          <w:tab w:val="left" w:pos="4156"/>
          <w:tab w:val="left" w:pos="6234"/>
        </w:tabs>
        <w:spacing w:line="240" w:lineRule="auto"/>
        <w:ind w:left="300"/>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rPr>
        <w:tab/>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eastAsia="宋体" w:cs="宋体"/>
          <w:sz w:val="21"/>
          <w:szCs w:val="21"/>
        </w:rPr>
        <w:tab/>
      </w:r>
      <w:r>
        <w:rPr>
          <w:rFonts w:hint="eastAsia" w:ascii="宋体" w:hAnsi="宋体" w:eastAsia="宋体" w:cs="宋体"/>
          <w:sz w:val="21"/>
          <w:szCs w:val="21"/>
        </w:rPr>
        <w:t>D．③④</w:t>
      </w:r>
    </w:p>
    <w:p w14:paraId="030FC9AB">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10．2024年4月23日，习近平在重庆主持召开新时代推动西部大开发座谈会时强调，要坚持把发展特色优势产业作为主攻方向，坚持以高水平保护支撑高质量发展，坚持以大开放促进大开发，坚持推进新型城镇化和乡村全面振兴有机结合，进一步形成大保护、大开放、高质量发展新格局。对此，下列传导正确的是（  ）</w:t>
      </w:r>
    </w:p>
    <w:p w14:paraId="0FB854C7">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①发展特色优势产业→完善市场经济体制→优化产业结构→形成高质量发展新格局</w:t>
      </w:r>
    </w:p>
    <w:p w14:paraId="2D991DDA">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②坚持节约保护优先→降低发展的资源环境代价→推进产业生态化→推动永续发展</w:t>
      </w:r>
    </w:p>
    <w:p w14:paraId="661B1094">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③推动对内对外开放→加强合作交流→利用国内外资源市场→为西部发展注入新活力</w:t>
      </w:r>
    </w:p>
    <w:p w14:paraId="3757FC8C">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④推进新型城镇化→推动生产要素向城镇聚集→促进城乡同步发展→增强发展整体性</w:t>
      </w:r>
    </w:p>
    <w:p w14:paraId="45804739">
      <w:pPr>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rPr>
        <w:tab/>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eastAsia="宋体" w:cs="宋体"/>
          <w:sz w:val="21"/>
          <w:szCs w:val="21"/>
        </w:rPr>
        <w:tab/>
      </w:r>
      <w:r>
        <w:rPr>
          <w:rFonts w:hint="eastAsia" w:ascii="宋体" w:hAnsi="宋体" w:eastAsia="宋体" w:cs="宋体"/>
          <w:sz w:val="21"/>
          <w:szCs w:val="21"/>
        </w:rPr>
        <w:t>D．③④</w:t>
      </w:r>
    </w:p>
    <w:p w14:paraId="653930AB">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11．中小企业联系千家万户，是推动创新、促进就业、改善民生的重要力量。专精特新企业是推动高质量发展的生力军、引领中小企业创新发展的“领头雁”、提升我国经济韧性的强支撑。2024年，湖南力争新增800家专精特新中小企业。下列对于培育专精特新中小企业推导正确的是（  ）</w:t>
      </w:r>
    </w:p>
    <w:p w14:paraId="5E0CFD97">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①实施专项财政支持政策→降低增值税起征点→缓解企业资金压力→增强企业活力</w:t>
      </w:r>
    </w:p>
    <w:p w14:paraId="33697228">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②开展补链强链专项行动→加快解决“卡脖子”难题→稳定产业链、供应链→保障经济韧性</w:t>
      </w:r>
    </w:p>
    <w:p w14:paraId="6F4D3C60">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③加强精准服务→提供多方面支持→培厚创新土壤→提振企业市场信心</w:t>
      </w:r>
    </w:p>
    <w:p w14:paraId="01121289">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④加大金融支持力度→降低存款准备金率→缓解融资贵问题→提高企业抗风险能力</w:t>
      </w:r>
    </w:p>
    <w:p w14:paraId="2D5DB55D">
      <w:pPr>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rPr>
        <w:tab/>
      </w:r>
      <w:r>
        <w:rPr>
          <w:rFonts w:hint="eastAsia" w:ascii="宋体" w:hAnsi="宋体" w:eastAsia="宋体" w:cs="宋体"/>
          <w:sz w:val="21"/>
          <w:szCs w:val="21"/>
        </w:rPr>
        <w:t>B．②③</w:t>
      </w:r>
      <w:r>
        <w:rPr>
          <w:rFonts w:hint="eastAsia" w:ascii="宋体" w:hAnsi="宋体" w:eastAsia="宋体" w:cs="宋体"/>
          <w:sz w:val="21"/>
          <w:szCs w:val="21"/>
        </w:rPr>
        <w:tab/>
      </w:r>
      <w:r>
        <w:rPr>
          <w:rFonts w:hint="eastAsia" w:ascii="宋体" w:hAnsi="宋体" w:eastAsia="宋体" w:cs="宋体"/>
          <w:sz w:val="21"/>
          <w:szCs w:val="21"/>
        </w:rPr>
        <w:t>C．③④</w:t>
      </w:r>
      <w:r>
        <w:rPr>
          <w:rFonts w:hint="eastAsia" w:ascii="宋体" w:hAnsi="宋体" w:eastAsia="宋体" w:cs="宋体"/>
          <w:sz w:val="21"/>
          <w:szCs w:val="21"/>
        </w:rPr>
        <w:tab/>
      </w:r>
      <w:r>
        <w:rPr>
          <w:rFonts w:hint="eastAsia" w:ascii="宋体" w:hAnsi="宋体" w:eastAsia="宋体" w:cs="宋体"/>
          <w:sz w:val="21"/>
          <w:szCs w:val="21"/>
        </w:rPr>
        <w:t>D．①④</w:t>
      </w:r>
    </w:p>
    <w:p w14:paraId="7F036EF9">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12．江西拥有全部41个工业大类中的38个。从产业领域看，既有一直保持良性发展的有色金属、石化化工、钢铁、建材、食品等传统产业，也有近年来蓬勃发展的电子信息、装备制造、新能源、生物医药等新兴产业，还有适度超前布局的稀土功能材料、高能量密度锂离子电池等未来产业。材料表明（</w:t>
      </w:r>
      <w:r>
        <w:rPr>
          <w:rFonts w:hint="eastAsia" w:ascii="宋体" w:hAnsi="宋体" w:eastAsia="宋体" w:cs="宋体"/>
          <w:kern w:val="0"/>
          <w:sz w:val="21"/>
          <w:szCs w:val="21"/>
        </w:rPr>
        <w:t>   </w:t>
      </w:r>
      <w:r>
        <w:rPr>
          <w:rFonts w:hint="eastAsia" w:ascii="宋体" w:hAnsi="宋体" w:eastAsia="宋体" w:cs="宋体"/>
          <w:sz w:val="21"/>
          <w:szCs w:val="21"/>
        </w:rPr>
        <w:t>）</w:t>
      </w:r>
    </w:p>
    <w:p w14:paraId="488F1F1B">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①江西具备建设现代化经济体系的产业基础</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②江西的产业体系更趋优化，发展动能强劲</w:t>
      </w:r>
    </w:p>
    <w:p w14:paraId="34D42220">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③江西形成了统一开放、竞争有序的市场体系</w:t>
      </w:r>
      <w:r>
        <w:rPr>
          <w:rFonts w:hint="eastAsia" w:ascii="宋体" w:hAnsi="宋体" w:cs="宋体"/>
          <w:sz w:val="21"/>
          <w:szCs w:val="21"/>
          <w:lang w:val="en-US" w:eastAsia="zh-CN"/>
        </w:rPr>
        <w:t xml:space="preserve">   </w:t>
      </w:r>
      <w:r>
        <w:rPr>
          <w:rFonts w:hint="eastAsia" w:ascii="宋体" w:hAnsi="宋体" w:eastAsia="宋体" w:cs="宋体"/>
          <w:sz w:val="21"/>
          <w:szCs w:val="21"/>
        </w:rPr>
        <w:t>④江西深化供给侧结构性改革，扩大中高端供给</w:t>
      </w:r>
    </w:p>
    <w:p w14:paraId="492DF619">
      <w:pPr>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rPr>
        <w:tab/>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eastAsia="宋体" w:cs="宋体"/>
          <w:sz w:val="21"/>
          <w:szCs w:val="21"/>
        </w:rPr>
        <w:tab/>
      </w:r>
      <w:r>
        <w:rPr>
          <w:rFonts w:hint="eastAsia" w:ascii="宋体" w:hAnsi="宋体" w:eastAsia="宋体" w:cs="宋体"/>
          <w:sz w:val="21"/>
          <w:szCs w:val="21"/>
        </w:rPr>
        <w:t>D．③④</w:t>
      </w:r>
    </w:p>
    <w:p w14:paraId="0346FA12">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13．随着科技进步和经济社会的发展，低空经济作为新兴趋势，涵盖了以通用航空产业为核心的低空飞行活动，包括但不限于航空旅游、航空运动、物流运输、应急救援等领域。这一经济形态的兴起，为我们带来了多方面的便利。发展低空经济能够（</w:t>
      </w:r>
      <w:r>
        <w:rPr>
          <w:rFonts w:hint="eastAsia" w:ascii="宋体" w:hAnsi="宋体" w:eastAsia="宋体" w:cs="宋体"/>
          <w:kern w:val="0"/>
          <w:sz w:val="21"/>
          <w:szCs w:val="21"/>
        </w:rPr>
        <w:t>   </w:t>
      </w:r>
      <w:r>
        <w:rPr>
          <w:rFonts w:hint="eastAsia" w:ascii="宋体" w:hAnsi="宋体" w:eastAsia="宋体" w:cs="宋体"/>
          <w:sz w:val="21"/>
          <w:szCs w:val="21"/>
        </w:rPr>
        <w:t>）</w:t>
      </w:r>
    </w:p>
    <w:p w14:paraId="3A7A0795">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①赋能千行百业，淘汰传统产业，发展新兴业态</w:t>
      </w:r>
      <w:r>
        <w:rPr>
          <w:rFonts w:hint="eastAsia" w:ascii="宋体" w:hAnsi="宋体" w:cs="宋体"/>
          <w:sz w:val="21"/>
          <w:szCs w:val="21"/>
          <w:lang w:val="en-US" w:eastAsia="zh-CN"/>
        </w:rPr>
        <w:t xml:space="preserve">      </w:t>
      </w:r>
      <w:r>
        <w:rPr>
          <w:rFonts w:hint="eastAsia" w:ascii="宋体" w:hAnsi="宋体" w:eastAsia="宋体" w:cs="宋体"/>
          <w:sz w:val="21"/>
          <w:szCs w:val="21"/>
        </w:rPr>
        <w:t>②创新消费场景，不断提升消费者的消费体验</w:t>
      </w:r>
    </w:p>
    <w:p w14:paraId="7681ADBA">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③发挥区域联动效应，构建优势互补区域经济布局</w:t>
      </w:r>
    </w:p>
    <w:p w14:paraId="67F2A72A">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④助力产业融合，延长产业链和价值链，带动相关领域融合发展</w:t>
      </w:r>
    </w:p>
    <w:p w14:paraId="6303D3FE">
      <w:pPr>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rPr>
        <w:tab/>
      </w:r>
      <w:r>
        <w:rPr>
          <w:rFonts w:hint="eastAsia" w:ascii="宋体" w:hAnsi="宋体" w:eastAsia="宋体" w:cs="宋体"/>
          <w:sz w:val="21"/>
          <w:szCs w:val="21"/>
        </w:rPr>
        <w:t>B．①③</w:t>
      </w:r>
      <w:r>
        <w:rPr>
          <w:rFonts w:hint="eastAsia" w:ascii="宋体" w:hAnsi="宋体" w:eastAsia="宋体" w:cs="宋体"/>
          <w:sz w:val="21"/>
          <w:szCs w:val="21"/>
        </w:rPr>
        <w:tab/>
      </w:r>
      <w:r>
        <w:rPr>
          <w:rFonts w:hint="eastAsia" w:ascii="宋体" w:hAnsi="宋体" w:eastAsia="宋体" w:cs="宋体"/>
          <w:sz w:val="21"/>
          <w:szCs w:val="21"/>
        </w:rPr>
        <w:t>C．②④</w:t>
      </w:r>
      <w:r>
        <w:rPr>
          <w:rFonts w:hint="eastAsia" w:ascii="宋体" w:hAnsi="宋体" w:eastAsia="宋体" w:cs="宋体"/>
          <w:sz w:val="21"/>
          <w:szCs w:val="21"/>
        </w:rPr>
        <w:tab/>
      </w:r>
      <w:r>
        <w:rPr>
          <w:rFonts w:hint="eastAsia" w:ascii="宋体" w:hAnsi="宋体" w:eastAsia="宋体" w:cs="宋体"/>
          <w:sz w:val="21"/>
          <w:szCs w:val="21"/>
        </w:rPr>
        <w:t>D．③④</w:t>
      </w:r>
    </w:p>
    <w:p w14:paraId="24E89A08">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14．2024年1—5月份，我国规模以上工业增加值同比增长67%其中5月份，国有控股企业增加值同比增长3.6%；股份制企业增长6.4%，外商及港澳台投资企业增长2.5%，私营企业增长5.9%；大规模设备更新扶持政策带动广播电视设备制造、通信设备制造行业增加值同比分别增长30.7%和15.7%。据此可推断我国（</w:t>
      </w:r>
      <w:r>
        <w:rPr>
          <w:rFonts w:hint="eastAsia" w:ascii="宋体" w:hAnsi="宋体" w:eastAsia="宋体" w:cs="宋体"/>
          <w:kern w:val="0"/>
          <w:sz w:val="21"/>
          <w:szCs w:val="21"/>
        </w:rPr>
        <w:t>   </w:t>
      </w:r>
      <w:r>
        <w:rPr>
          <w:rFonts w:hint="eastAsia" w:ascii="宋体" w:hAnsi="宋体" w:eastAsia="宋体" w:cs="宋体"/>
          <w:sz w:val="21"/>
          <w:szCs w:val="21"/>
        </w:rPr>
        <w:t>）</w:t>
      </w:r>
    </w:p>
    <w:p w14:paraId="1BEF1EA3">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①积极推进制造业转型升级，培育出口竞争新优势</w:t>
      </w:r>
      <w:r>
        <w:rPr>
          <w:rFonts w:hint="eastAsia" w:ascii="宋体" w:hAnsi="宋体" w:cs="宋体"/>
          <w:sz w:val="21"/>
          <w:szCs w:val="21"/>
          <w:lang w:val="en-US" w:eastAsia="zh-CN"/>
        </w:rPr>
        <w:t xml:space="preserve">  </w:t>
      </w:r>
      <w:r>
        <w:rPr>
          <w:rFonts w:hint="eastAsia" w:ascii="宋体" w:hAnsi="宋体" w:eastAsia="宋体" w:cs="宋体"/>
          <w:sz w:val="21"/>
          <w:szCs w:val="21"/>
        </w:rPr>
        <w:t>②多种所有制共同发展，非公有制经济的地位提升</w:t>
      </w:r>
    </w:p>
    <w:p w14:paraId="53798F49">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③深化供给侧结构性改革，工业经济发展态势良好</w:t>
      </w:r>
      <w:r>
        <w:rPr>
          <w:rFonts w:hint="eastAsia" w:ascii="宋体" w:hAnsi="宋体" w:cs="宋体"/>
          <w:sz w:val="21"/>
          <w:szCs w:val="21"/>
          <w:lang w:val="en-US" w:eastAsia="zh-CN"/>
        </w:rPr>
        <w:t xml:space="preserve">  </w:t>
      </w:r>
      <w:r>
        <w:rPr>
          <w:rFonts w:hint="eastAsia" w:ascii="宋体" w:hAnsi="宋体" w:eastAsia="宋体" w:cs="宋体"/>
          <w:sz w:val="21"/>
          <w:szCs w:val="21"/>
        </w:rPr>
        <w:t>④宏观政策效应日益显现，激发了市场主体的活力</w:t>
      </w:r>
    </w:p>
    <w:p w14:paraId="797AB2B7">
      <w:pPr>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eastAsia="宋体" w:cs="宋体"/>
          <w:sz w:val="21"/>
          <w:szCs w:val="21"/>
        </w:rPr>
        <w:tab/>
      </w:r>
      <w:r>
        <w:rPr>
          <w:rFonts w:hint="eastAsia" w:ascii="宋体" w:hAnsi="宋体" w:eastAsia="宋体" w:cs="宋体"/>
          <w:sz w:val="21"/>
          <w:szCs w:val="21"/>
        </w:rPr>
        <w:t>B．①③</w:t>
      </w:r>
      <w:r>
        <w:rPr>
          <w:rFonts w:hint="eastAsia" w:ascii="宋体" w:hAnsi="宋体" w:eastAsia="宋体" w:cs="宋体"/>
          <w:sz w:val="21"/>
          <w:szCs w:val="21"/>
        </w:rPr>
        <w:tab/>
      </w:r>
      <w:r>
        <w:rPr>
          <w:rFonts w:hint="eastAsia" w:ascii="宋体" w:hAnsi="宋体" w:eastAsia="宋体" w:cs="宋体"/>
          <w:sz w:val="21"/>
          <w:szCs w:val="21"/>
        </w:rPr>
        <w:t>C．②④</w:t>
      </w:r>
      <w:r>
        <w:rPr>
          <w:rFonts w:hint="eastAsia" w:ascii="宋体" w:hAnsi="宋体" w:eastAsia="宋体" w:cs="宋体"/>
          <w:sz w:val="21"/>
          <w:szCs w:val="21"/>
        </w:rPr>
        <w:tab/>
      </w:r>
      <w:r>
        <w:rPr>
          <w:rFonts w:hint="eastAsia" w:ascii="宋体" w:hAnsi="宋体" w:eastAsia="宋体" w:cs="宋体"/>
          <w:sz w:val="21"/>
          <w:szCs w:val="21"/>
        </w:rPr>
        <w:t>D．③④</w:t>
      </w:r>
    </w:p>
    <w:p w14:paraId="73271675">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15．算力券是政府免费发放给企业的一种创新型消费券。2024年以来，全国不少地方以发放算力券的方式，帮助某些有需要的中小微企业解决算力使用难题，倡导和鼓励更多的企业加强算力投入，推动算力及人工智能产业发展。政府发放算力券（</w:t>
      </w:r>
      <w:r>
        <w:rPr>
          <w:rFonts w:hint="eastAsia" w:ascii="宋体" w:hAnsi="宋体" w:eastAsia="宋体" w:cs="宋体"/>
          <w:kern w:val="0"/>
          <w:sz w:val="21"/>
          <w:szCs w:val="21"/>
        </w:rPr>
        <w:t>   </w:t>
      </w:r>
      <w:r>
        <w:rPr>
          <w:rFonts w:hint="eastAsia" w:ascii="宋体" w:hAnsi="宋体" w:eastAsia="宋体" w:cs="宋体"/>
          <w:sz w:val="21"/>
          <w:szCs w:val="21"/>
        </w:rPr>
        <w:t>）</w:t>
      </w:r>
    </w:p>
    <w:p w14:paraId="280251AE">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①能促进算力市场供需关系有效对接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②将增加中小微企业的算力成本投入</w:t>
      </w:r>
    </w:p>
    <w:p w14:paraId="4D22205A">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③是数据要素市场化配置改革的表现</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④能促进中小微企业发展动能的转变</w:t>
      </w:r>
    </w:p>
    <w:p w14:paraId="31400093">
      <w:pPr>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A．①③</w:t>
      </w:r>
      <w:r>
        <w:rPr>
          <w:rFonts w:hint="eastAsia" w:ascii="宋体" w:hAnsi="宋体" w:eastAsia="宋体" w:cs="宋体"/>
          <w:sz w:val="21"/>
          <w:szCs w:val="21"/>
        </w:rPr>
        <w:tab/>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eastAsia="宋体" w:cs="宋体"/>
          <w:sz w:val="21"/>
          <w:szCs w:val="21"/>
        </w:rPr>
        <w:tab/>
      </w:r>
      <w:r>
        <w:rPr>
          <w:rFonts w:hint="eastAsia" w:ascii="宋体" w:hAnsi="宋体" w:eastAsia="宋体" w:cs="宋体"/>
          <w:sz w:val="21"/>
          <w:szCs w:val="21"/>
        </w:rPr>
        <w:t>D．②④</w:t>
      </w:r>
    </w:p>
    <w:p w14:paraId="7F62E61C">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16．2024年6月24日，广东省统计局发布2012—2023年广东城镇私营单位就业人员年平均工资及增速情况，如下图所示：</w:t>
      </w:r>
    </w:p>
    <w:p w14:paraId="1022B0CB">
      <w:pPr>
        <w:spacing w:line="240" w:lineRule="auto"/>
        <w:textAlignment w:val="center"/>
        <w:rPr>
          <w:rFonts w:hint="eastAsia" w:ascii="宋体" w:hAnsi="宋体" w:eastAsia="宋体" w:cs="宋体"/>
          <w:sz w:val="21"/>
          <w:szCs w:val="21"/>
        </w:rPr>
      </w:pPr>
      <w:r>
        <w:rPr>
          <w:rFonts w:hint="eastAsia" w:ascii="宋体" w:hAnsi="宋体" w:eastAsia="宋体" w:cs="宋体"/>
          <w:kern w:val="0"/>
          <w:sz w:val="21"/>
          <w:szCs w:val="21"/>
        </w:rPr>
        <w:drawing>
          <wp:anchor distT="0" distB="0" distL="0" distR="0" simplePos="0" relativeHeight="251661312" behindDoc="1" locked="0" layoutInCell="1" allowOverlap="1">
            <wp:simplePos x="0" y="0"/>
            <wp:positionH relativeFrom="column">
              <wp:posOffset>342900</wp:posOffset>
            </wp:positionH>
            <wp:positionV relativeFrom="paragraph">
              <wp:posOffset>74295</wp:posOffset>
            </wp:positionV>
            <wp:extent cx="5276215" cy="1371600"/>
            <wp:effectExtent l="0" t="0" r="635" b="38100"/>
            <wp:wrapTight wrapText="bothSides">
              <wp:wrapPolygon>
                <wp:start x="0" y="0"/>
                <wp:lineTo x="0" y="21300"/>
                <wp:lineTo x="21525" y="21300"/>
                <wp:lineTo x="21525" y="0"/>
                <wp:lineTo x="0" y="0"/>
              </wp:wrapPolygon>
            </wp:wrapTight>
            <wp:docPr id="100005" name="图片 100005" descr="@@@e3be32e05225441ca732f5e9e9eb1a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e3be32e05225441ca732f5e9e9eb1a32"/>
                    <pic:cNvPicPr>
                      <a:picLocks noChangeAspect="1"/>
                    </pic:cNvPicPr>
                  </pic:nvPicPr>
                  <pic:blipFill>
                    <a:blip r:embed="rId9"/>
                    <a:stretch>
                      <a:fillRect/>
                    </a:stretch>
                  </pic:blipFill>
                  <pic:spPr>
                    <a:xfrm>
                      <a:off x="0" y="0"/>
                      <a:ext cx="5276800" cy="1371600"/>
                    </a:xfrm>
                    <a:prstGeom prst="rect">
                      <a:avLst/>
                    </a:prstGeom>
                  </pic:spPr>
                </pic:pic>
              </a:graphicData>
            </a:graphic>
          </wp:anchor>
        </w:drawing>
      </w:r>
    </w:p>
    <w:p w14:paraId="058FF137">
      <w:pPr>
        <w:spacing w:line="240" w:lineRule="auto"/>
        <w:jc w:val="left"/>
        <w:textAlignment w:val="center"/>
        <w:rPr>
          <w:rFonts w:hint="eastAsia" w:ascii="宋体" w:hAnsi="宋体" w:eastAsia="宋体" w:cs="宋体"/>
          <w:sz w:val="21"/>
          <w:szCs w:val="21"/>
        </w:rPr>
      </w:pPr>
    </w:p>
    <w:p w14:paraId="3E8FCBD9">
      <w:pPr>
        <w:spacing w:line="240" w:lineRule="auto"/>
        <w:jc w:val="left"/>
        <w:textAlignment w:val="center"/>
        <w:rPr>
          <w:rFonts w:hint="eastAsia" w:ascii="宋体" w:hAnsi="宋体" w:eastAsia="宋体" w:cs="宋体"/>
          <w:sz w:val="21"/>
          <w:szCs w:val="21"/>
        </w:rPr>
      </w:pPr>
    </w:p>
    <w:p w14:paraId="033A3975">
      <w:pPr>
        <w:spacing w:line="240" w:lineRule="auto"/>
        <w:jc w:val="left"/>
        <w:textAlignment w:val="center"/>
        <w:rPr>
          <w:rFonts w:hint="eastAsia" w:ascii="宋体" w:hAnsi="宋体" w:eastAsia="宋体" w:cs="宋体"/>
          <w:sz w:val="21"/>
          <w:szCs w:val="21"/>
        </w:rPr>
      </w:pPr>
    </w:p>
    <w:p w14:paraId="4F9EBB2A">
      <w:pPr>
        <w:spacing w:line="240" w:lineRule="auto"/>
        <w:jc w:val="left"/>
        <w:textAlignment w:val="center"/>
        <w:rPr>
          <w:rFonts w:hint="eastAsia" w:ascii="宋体" w:hAnsi="宋体" w:eastAsia="宋体" w:cs="宋体"/>
          <w:sz w:val="21"/>
          <w:szCs w:val="21"/>
        </w:rPr>
      </w:pPr>
    </w:p>
    <w:p w14:paraId="3E56C9EF">
      <w:pPr>
        <w:spacing w:line="240" w:lineRule="auto"/>
        <w:jc w:val="left"/>
        <w:textAlignment w:val="center"/>
        <w:rPr>
          <w:rFonts w:hint="eastAsia" w:ascii="宋体" w:hAnsi="宋体" w:eastAsia="宋体" w:cs="宋体"/>
          <w:sz w:val="21"/>
          <w:szCs w:val="21"/>
        </w:rPr>
      </w:pPr>
    </w:p>
    <w:p w14:paraId="678981CE">
      <w:pPr>
        <w:spacing w:line="240" w:lineRule="auto"/>
        <w:jc w:val="left"/>
        <w:textAlignment w:val="center"/>
        <w:rPr>
          <w:rFonts w:hint="eastAsia" w:ascii="宋体" w:hAnsi="宋体" w:eastAsia="宋体" w:cs="宋体"/>
          <w:sz w:val="21"/>
          <w:szCs w:val="21"/>
        </w:rPr>
      </w:pPr>
    </w:p>
    <w:p w14:paraId="6BBDEE92">
      <w:pPr>
        <w:spacing w:line="240" w:lineRule="auto"/>
        <w:jc w:val="left"/>
        <w:textAlignment w:val="center"/>
        <w:rPr>
          <w:rFonts w:hint="eastAsia" w:ascii="宋体" w:hAnsi="宋体" w:eastAsia="宋体" w:cs="宋体"/>
          <w:sz w:val="21"/>
          <w:szCs w:val="21"/>
        </w:rPr>
      </w:pPr>
    </w:p>
    <w:p w14:paraId="1DE50F86">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18"/>
          <w:szCs w:val="18"/>
        </w:rPr>
        <w:t>(注：2023年广东城镇私营单位就业人员年平均工资粤东地区同比增长2.5%，粤西地区同比增长3.8%。)</w:t>
      </w:r>
      <w:r>
        <w:rPr>
          <w:rFonts w:hint="eastAsia" w:ascii="宋体" w:hAnsi="宋体" w:eastAsia="宋体" w:cs="宋体"/>
          <w:sz w:val="21"/>
          <w:szCs w:val="21"/>
        </w:rPr>
        <w:t>据此可知，广东省（</w:t>
      </w:r>
      <w:r>
        <w:rPr>
          <w:rFonts w:hint="eastAsia" w:ascii="宋体" w:hAnsi="宋体" w:eastAsia="宋体" w:cs="宋体"/>
          <w:kern w:val="0"/>
          <w:sz w:val="21"/>
          <w:szCs w:val="21"/>
        </w:rPr>
        <w:t>   </w:t>
      </w:r>
      <w:r>
        <w:rPr>
          <w:rFonts w:hint="eastAsia" w:ascii="宋体" w:hAnsi="宋体" w:eastAsia="宋体" w:cs="宋体"/>
          <w:sz w:val="21"/>
          <w:szCs w:val="21"/>
        </w:rPr>
        <w:t>）</w:t>
      </w:r>
    </w:p>
    <w:p w14:paraId="1C8B3D31">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①私营经济展现较好的发展韧性和活力</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②政府应该降低对经济宏观调控的力度</w:t>
      </w:r>
    </w:p>
    <w:p w14:paraId="279BE895">
      <w:pPr>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③还需持续发力落实区域协调发展战略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④粤西地区工资总额首次超越粤东地区</w:t>
      </w:r>
    </w:p>
    <w:p w14:paraId="77CC25A1">
      <w:pPr>
        <w:tabs>
          <w:tab w:val="left" w:pos="2078"/>
          <w:tab w:val="left" w:pos="4156"/>
          <w:tab w:val="left" w:pos="6234"/>
        </w:tabs>
        <w:spacing w:line="240" w:lineRule="auto"/>
        <w:ind w:left="380"/>
        <w:jc w:val="left"/>
        <w:textAlignment w:val="center"/>
        <w:rPr>
          <w:rFonts w:hint="eastAsia" w:ascii="宋体" w:hAnsi="宋体" w:eastAsia="宋体" w:cs="宋体"/>
          <w:b/>
          <w:color w:val="000000"/>
          <w:sz w:val="21"/>
          <w:szCs w:val="21"/>
        </w:rPr>
      </w:pPr>
      <w:r>
        <w:rPr>
          <w:rFonts w:hint="eastAsia" w:ascii="宋体" w:hAnsi="宋体" w:eastAsia="宋体" w:cs="宋体"/>
          <w:sz w:val="21"/>
          <w:szCs w:val="21"/>
        </w:rPr>
        <w:t>A．①③</w:t>
      </w:r>
      <w:r>
        <w:rPr>
          <w:rFonts w:hint="eastAsia" w:ascii="宋体" w:hAnsi="宋体" w:eastAsia="宋体" w:cs="宋体"/>
          <w:sz w:val="21"/>
          <w:szCs w:val="21"/>
        </w:rPr>
        <w:tab/>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eastAsia="宋体" w:cs="宋体"/>
          <w:sz w:val="21"/>
          <w:szCs w:val="21"/>
        </w:rPr>
        <w:t>C．②③</w:t>
      </w:r>
      <w:r>
        <w:rPr>
          <w:rFonts w:hint="eastAsia" w:ascii="宋体" w:hAnsi="宋体" w:eastAsia="宋体" w:cs="宋体"/>
          <w:sz w:val="21"/>
          <w:szCs w:val="21"/>
        </w:rPr>
        <w:tab/>
      </w:r>
      <w:r>
        <w:rPr>
          <w:rFonts w:hint="eastAsia" w:ascii="宋体" w:hAnsi="宋体" w:eastAsia="宋体" w:cs="宋体"/>
          <w:sz w:val="21"/>
          <w:szCs w:val="21"/>
        </w:rPr>
        <w:t>D．②④</w:t>
      </w:r>
    </w:p>
    <w:p w14:paraId="6DCC8F24">
      <w:pPr>
        <w:spacing w:line="240" w:lineRule="auto"/>
        <w:jc w:val="left"/>
        <w:textAlignment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二、主观题</w:t>
      </w:r>
    </w:p>
    <w:p w14:paraId="5B9C4971">
      <w:pPr>
        <w:spacing w:line="240" w:lineRule="auto"/>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17．阅读材料，按要求回答问题。</w:t>
      </w:r>
    </w:p>
    <w:p w14:paraId="15BA6D83">
      <w:pPr>
        <w:spacing w:line="240" w:lineRule="auto"/>
        <w:ind w:firstLine="420" w:firstLineChars="200"/>
        <w:jc w:val="left"/>
        <w:textAlignment w:val="center"/>
        <w:rPr>
          <w:rFonts w:hint="eastAsia" w:ascii="宋体" w:hAnsi="宋体" w:eastAsia="宋体" w:cs="宋体"/>
          <w:sz w:val="21"/>
          <w:szCs w:val="21"/>
        </w:rPr>
      </w:pPr>
      <w:r>
        <w:rPr>
          <w:rFonts w:hint="eastAsia" w:ascii="宋体" w:hAnsi="宋体" w:eastAsia="宋体" w:cs="宋体"/>
          <w:sz w:val="21"/>
          <w:szCs w:val="21"/>
        </w:rPr>
        <w:t>2023年贵州台江“村BA”、榕江“村超”两大土生土长的“村”字号赛事火爆出圈，诠释了乡土文化在乡村振兴中的独特魅力。当地专门规划建立夜间经济聚集街，开通了直达省城贵阳的客运班车，催生民俗旅游经济发展。同时，当地还孵化了短视频账号1.2万余个和2200余个本地网络直播营销团队，为“村超”出圈提供了强大支撑。随着藏在深山的“村味好物”映入大众视野，陆续有农业产业项目落地“两江”，榕江签订合作协议项目9个，台江推动食品加工产业园等亿元级产业项目落地并投产。</w:t>
      </w:r>
    </w:p>
    <w:p w14:paraId="2C07FEED">
      <w:pPr>
        <w:spacing w:line="240" w:lineRule="auto"/>
        <w:ind w:firstLine="420" w:firstLineChars="200"/>
        <w:jc w:val="left"/>
        <w:textAlignment w:val="center"/>
        <w:rPr>
          <w:rFonts w:hint="eastAsia" w:ascii="宋体" w:hAnsi="宋体" w:eastAsia="宋体" w:cs="宋体"/>
          <w:sz w:val="21"/>
          <w:szCs w:val="21"/>
        </w:rPr>
      </w:pPr>
      <w:r>
        <w:rPr>
          <w:rFonts w:hint="eastAsia" w:ascii="宋体" w:hAnsi="宋体" w:eastAsia="宋体" w:cs="宋体"/>
          <w:sz w:val="21"/>
          <w:szCs w:val="21"/>
        </w:rPr>
        <w:t>贵州正在用“超好看”赛事、“超好吃”美食、“超好玩”美景等“超”经济，赋能中国式现代化县城实践，也让百姓从中受益。</w:t>
      </w:r>
    </w:p>
    <w:p w14:paraId="5F40A8E5">
      <w:pPr>
        <w:spacing w:line="240" w:lineRule="auto"/>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结合材料，运用“我国的经济发展”的相关知识，阐释贵州用“超”经济赋能县域发展的启示。</w:t>
      </w:r>
    </w:p>
    <w:p w14:paraId="11D7E53D">
      <w:pPr>
        <w:spacing w:line="240" w:lineRule="auto"/>
        <w:jc w:val="left"/>
        <w:textAlignment w:val="center"/>
        <w:rPr>
          <w:rFonts w:hint="eastAsia" w:ascii="宋体" w:hAnsi="宋体" w:eastAsia="宋体" w:cs="宋体"/>
          <w:sz w:val="21"/>
          <w:szCs w:val="21"/>
        </w:rPr>
      </w:pPr>
    </w:p>
    <w:p w14:paraId="278D0166">
      <w:pPr>
        <w:spacing w:line="240" w:lineRule="auto"/>
        <w:jc w:val="left"/>
        <w:textAlignment w:val="center"/>
        <w:rPr>
          <w:rFonts w:hint="eastAsia" w:ascii="宋体" w:hAnsi="宋体" w:eastAsia="宋体" w:cs="宋体"/>
          <w:sz w:val="21"/>
          <w:szCs w:val="21"/>
        </w:rPr>
      </w:pPr>
    </w:p>
    <w:p w14:paraId="38D8BC7E">
      <w:pPr>
        <w:spacing w:line="240" w:lineRule="auto"/>
        <w:jc w:val="left"/>
        <w:textAlignment w:val="center"/>
        <w:rPr>
          <w:rFonts w:hint="eastAsia" w:ascii="宋体" w:hAnsi="宋体" w:eastAsia="宋体" w:cs="宋体"/>
          <w:b/>
          <w:bCs/>
          <w:sz w:val="21"/>
          <w:szCs w:val="21"/>
        </w:rPr>
      </w:pPr>
    </w:p>
    <w:p w14:paraId="6AD41FE1">
      <w:pPr>
        <w:spacing w:line="240" w:lineRule="auto"/>
        <w:jc w:val="left"/>
        <w:textAlignment w:val="center"/>
        <w:rPr>
          <w:rFonts w:hint="eastAsia" w:ascii="宋体" w:hAnsi="宋体" w:eastAsia="宋体" w:cs="宋体"/>
          <w:b/>
          <w:bCs/>
          <w:sz w:val="21"/>
          <w:szCs w:val="21"/>
        </w:rPr>
      </w:pPr>
    </w:p>
    <w:p w14:paraId="594DC440">
      <w:pPr>
        <w:spacing w:line="240" w:lineRule="auto"/>
        <w:jc w:val="left"/>
        <w:textAlignment w:val="center"/>
        <w:rPr>
          <w:rFonts w:hint="eastAsia" w:ascii="宋体" w:hAnsi="宋体" w:eastAsia="宋体" w:cs="宋体"/>
          <w:b/>
          <w:bCs/>
          <w:sz w:val="21"/>
          <w:szCs w:val="21"/>
        </w:rPr>
      </w:pPr>
    </w:p>
    <w:p w14:paraId="46FFD283">
      <w:pPr>
        <w:spacing w:line="240" w:lineRule="auto"/>
        <w:jc w:val="left"/>
        <w:textAlignment w:val="center"/>
        <w:rPr>
          <w:rFonts w:hint="eastAsia" w:ascii="宋体" w:hAnsi="宋体" w:eastAsia="宋体" w:cs="宋体"/>
          <w:b/>
          <w:bCs/>
          <w:sz w:val="21"/>
          <w:szCs w:val="21"/>
        </w:rPr>
      </w:pPr>
    </w:p>
    <w:p w14:paraId="4E11F12D">
      <w:pPr>
        <w:spacing w:line="240" w:lineRule="auto"/>
        <w:jc w:val="left"/>
        <w:textAlignment w:val="center"/>
        <w:rPr>
          <w:rFonts w:hint="eastAsia" w:ascii="宋体" w:hAnsi="宋体" w:eastAsia="宋体" w:cs="宋体"/>
          <w:b/>
          <w:bCs/>
          <w:sz w:val="21"/>
          <w:szCs w:val="21"/>
        </w:rPr>
      </w:pPr>
    </w:p>
    <w:p w14:paraId="31B97CE8">
      <w:pPr>
        <w:spacing w:line="240" w:lineRule="auto"/>
        <w:jc w:val="left"/>
        <w:textAlignment w:val="center"/>
        <w:rPr>
          <w:rFonts w:hint="eastAsia" w:ascii="宋体" w:hAnsi="宋体" w:eastAsia="宋体" w:cs="宋体"/>
          <w:b/>
          <w:bCs/>
          <w:sz w:val="21"/>
          <w:szCs w:val="21"/>
        </w:rPr>
      </w:pPr>
    </w:p>
    <w:p w14:paraId="116D268E">
      <w:pPr>
        <w:spacing w:line="240" w:lineRule="auto"/>
        <w:jc w:val="left"/>
        <w:textAlignment w:val="center"/>
        <w:rPr>
          <w:rFonts w:hint="eastAsia" w:ascii="宋体" w:hAnsi="宋体" w:eastAsia="宋体" w:cs="宋体"/>
          <w:b/>
          <w:bCs/>
          <w:sz w:val="21"/>
          <w:szCs w:val="21"/>
        </w:rPr>
      </w:pPr>
    </w:p>
    <w:p w14:paraId="6E1C764F">
      <w:pPr>
        <w:spacing w:line="240" w:lineRule="auto"/>
        <w:jc w:val="left"/>
        <w:textAlignment w:val="center"/>
        <w:rPr>
          <w:rFonts w:hint="eastAsia" w:ascii="宋体" w:hAnsi="宋体" w:eastAsia="宋体" w:cs="宋体"/>
          <w:b/>
          <w:bCs/>
          <w:sz w:val="21"/>
          <w:szCs w:val="21"/>
        </w:rPr>
      </w:pPr>
    </w:p>
    <w:p w14:paraId="70AD8F7B">
      <w:pPr>
        <w:spacing w:line="240" w:lineRule="auto"/>
        <w:jc w:val="left"/>
        <w:textAlignment w:val="center"/>
        <w:rPr>
          <w:rFonts w:hint="eastAsia" w:ascii="宋体" w:hAnsi="宋体" w:eastAsia="宋体" w:cs="宋体"/>
          <w:b/>
          <w:bCs/>
          <w:sz w:val="21"/>
          <w:szCs w:val="21"/>
        </w:rPr>
      </w:pPr>
    </w:p>
    <w:p w14:paraId="43BDEB59">
      <w:pPr>
        <w:spacing w:line="240" w:lineRule="auto"/>
        <w:jc w:val="left"/>
        <w:textAlignment w:val="center"/>
        <w:rPr>
          <w:rFonts w:hint="eastAsia" w:ascii="宋体" w:hAnsi="宋体" w:eastAsia="宋体" w:cs="宋体"/>
          <w:b/>
          <w:bCs/>
          <w:sz w:val="21"/>
          <w:szCs w:val="21"/>
        </w:rPr>
      </w:pPr>
    </w:p>
    <w:p w14:paraId="578877DA">
      <w:pPr>
        <w:spacing w:line="240" w:lineRule="auto"/>
        <w:jc w:val="left"/>
        <w:textAlignment w:val="center"/>
        <w:rPr>
          <w:rFonts w:hint="eastAsia" w:ascii="宋体" w:hAnsi="宋体" w:eastAsia="宋体" w:cs="宋体"/>
          <w:b/>
          <w:bCs/>
          <w:sz w:val="21"/>
          <w:szCs w:val="21"/>
        </w:rPr>
      </w:pPr>
    </w:p>
    <w:p w14:paraId="1065D4BE">
      <w:pPr>
        <w:spacing w:line="240" w:lineRule="auto"/>
        <w:jc w:val="left"/>
        <w:textAlignment w:val="center"/>
        <w:rPr>
          <w:rFonts w:hint="eastAsia" w:ascii="宋体" w:hAnsi="宋体" w:eastAsia="宋体" w:cs="宋体"/>
          <w:b/>
          <w:bCs/>
          <w:sz w:val="21"/>
          <w:szCs w:val="21"/>
        </w:rPr>
      </w:pPr>
    </w:p>
    <w:p w14:paraId="3ED5DBF5">
      <w:pPr>
        <w:spacing w:line="240" w:lineRule="auto"/>
        <w:jc w:val="left"/>
        <w:textAlignment w:val="center"/>
        <w:rPr>
          <w:rFonts w:hint="eastAsia" w:ascii="宋体" w:hAnsi="宋体" w:eastAsia="宋体" w:cs="宋体"/>
          <w:b/>
          <w:bCs/>
          <w:sz w:val="21"/>
          <w:szCs w:val="21"/>
        </w:rPr>
      </w:pPr>
    </w:p>
    <w:p w14:paraId="2263169F">
      <w:pPr>
        <w:spacing w:line="240" w:lineRule="auto"/>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18．阅读材料，完成下列要求。</w:t>
      </w:r>
    </w:p>
    <w:p w14:paraId="4E67A78E">
      <w:pPr>
        <w:spacing w:line="240" w:lineRule="auto"/>
        <w:ind w:firstLine="560"/>
        <w:jc w:val="left"/>
        <w:textAlignment w:val="center"/>
        <w:rPr>
          <w:rFonts w:hint="eastAsia" w:ascii="宋体" w:hAnsi="宋体" w:eastAsia="宋体" w:cs="宋体"/>
          <w:sz w:val="21"/>
          <w:szCs w:val="21"/>
        </w:rPr>
      </w:pPr>
      <w:r>
        <w:rPr>
          <w:rFonts w:hint="eastAsia" w:ascii="宋体" w:hAnsi="宋体" w:eastAsia="宋体" w:cs="宋体"/>
          <w:sz w:val="21"/>
          <w:szCs w:val="21"/>
        </w:rPr>
        <w:t>在国务院台湾事务办公室2024年首次例行新闻发布会上，发言人表示，2023年台商新春度谈会释放恢复和加强两岸交流合作的积极信号：推动恢复两岸空中直航航点和“小三通”复航，邀请台湾主要工商团体及工商界代表人士来访，引导两岸工商界合作共赢，深化两岸产业合作；及时解决部分台湾食品企业注册问题，恢复台湾冰鲜白带鱼、冻竹英鱼、番荔枝、石斑鱼输入；持续做好台湾青年实习就业创业工作，为他们提供施展才华的平台。据海关总署统计，2023年两岸贸易额为2678.36亿美元，保持高位运行，大陆稳居台湾最大贸易顺差来源地。商务部数据显示，2023年1月至11月，大陆新批准台资项目(含经第三地转投资)6936个，同比增长26.8%，实际利用台资金额26.9亿美元，同比增长39.9%.</w:t>
      </w:r>
    </w:p>
    <w:p w14:paraId="7993CB99">
      <w:pPr>
        <w:spacing w:line="240" w:lineRule="auto"/>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结合材料，运用《经济与社会》的相关知识，说明我国是如何推动两岸经济交流合作的。</w:t>
      </w:r>
    </w:p>
    <w:p w14:paraId="32AB3D9A">
      <w:pPr>
        <w:spacing w:line="240" w:lineRule="auto"/>
        <w:jc w:val="left"/>
        <w:textAlignment w:val="center"/>
        <w:rPr>
          <w:rFonts w:hint="eastAsia" w:ascii="宋体" w:hAnsi="宋体" w:eastAsia="宋体" w:cs="宋体"/>
          <w:b/>
          <w:bCs/>
          <w:sz w:val="21"/>
          <w:szCs w:val="21"/>
        </w:rPr>
      </w:pPr>
    </w:p>
    <w:p w14:paraId="10583FC2">
      <w:pPr>
        <w:jc w:val="both"/>
        <w:textAlignment w:val="center"/>
        <w:rPr>
          <w:rFonts w:ascii="宋体" w:hAnsi="宋体" w:cs="宋体"/>
          <w:b/>
          <w:color w:val="000000"/>
          <w:sz w:val="21"/>
          <w:szCs w:val="21"/>
        </w:rPr>
      </w:pPr>
    </w:p>
    <w:p w14:paraId="5A39F6B2">
      <w:pPr>
        <w:jc w:val="both"/>
        <w:textAlignment w:val="center"/>
        <w:rPr>
          <w:rFonts w:ascii="宋体" w:hAnsi="宋体" w:cs="宋体"/>
          <w:b/>
          <w:color w:val="000000"/>
          <w:sz w:val="21"/>
          <w:szCs w:val="21"/>
        </w:rPr>
      </w:pPr>
    </w:p>
    <w:p w14:paraId="0E7ED6E1">
      <w:pPr>
        <w:jc w:val="both"/>
        <w:textAlignment w:val="center"/>
        <w:rPr>
          <w:rFonts w:ascii="宋体" w:hAnsi="宋体" w:cs="宋体"/>
          <w:b/>
          <w:color w:val="000000"/>
          <w:sz w:val="21"/>
          <w:szCs w:val="21"/>
        </w:rPr>
      </w:pPr>
    </w:p>
    <w:p w14:paraId="28448664">
      <w:pPr>
        <w:jc w:val="both"/>
        <w:textAlignment w:val="center"/>
        <w:rPr>
          <w:rFonts w:ascii="宋体" w:hAnsi="宋体" w:cs="宋体"/>
          <w:b/>
          <w:color w:val="000000"/>
          <w:sz w:val="21"/>
          <w:szCs w:val="21"/>
        </w:rPr>
      </w:pPr>
    </w:p>
    <w:p w14:paraId="266097E0">
      <w:pPr>
        <w:jc w:val="both"/>
        <w:textAlignment w:val="center"/>
        <w:rPr>
          <w:rFonts w:ascii="宋体" w:hAnsi="宋体" w:cs="宋体"/>
          <w:b/>
          <w:color w:val="000000"/>
          <w:sz w:val="21"/>
          <w:szCs w:val="21"/>
        </w:rPr>
      </w:pPr>
    </w:p>
    <w:p w14:paraId="00C1B2B6">
      <w:pPr>
        <w:jc w:val="both"/>
        <w:textAlignment w:val="center"/>
        <w:rPr>
          <w:rFonts w:ascii="宋体" w:hAnsi="宋体" w:cs="宋体"/>
          <w:b/>
          <w:color w:val="000000"/>
          <w:sz w:val="21"/>
          <w:szCs w:val="21"/>
        </w:rPr>
      </w:pPr>
    </w:p>
    <w:p w14:paraId="781C4397">
      <w:pPr>
        <w:jc w:val="both"/>
        <w:textAlignment w:val="center"/>
        <w:rPr>
          <w:rFonts w:ascii="宋体" w:hAnsi="宋体" w:cs="宋体"/>
          <w:b/>
          <w:color w:val="000000"/>
          <w:sz w:val="21"/>
          <w:szCs w:val="21"/>
        </w:rPr>
      </w:pPr>
    </w:p>
    <w:p w14:paraId="6F1D1221">
      <w:pPr>
        <w:jc w:val="both"/>
        <w:textAlignment w:val="center"/>
        <w:rPr>
          <w:rFonts w:ascii="宋体" w:hAnsi="宋体" w:cs="宋体"/>
          <w:b/>
          <w:color w:val="000000"/>
          <w:sz w:val="21"/>
          <w:szCs w:val="21"/>
        </w:rPr>
      </w:pPr>
    </w:p>
    <w:p w14:paraId="43BB3820">
      <w:pPr>
        <w:jc w:val="both"/>
        <w:textAlignment w:val="center"/>
        <w:rPr>
          <w:rFonts w:ascii="宋体" w:hAnsi="宋体" w:cs="宋体"/>
          <w:b/>
          <w:color w:val="000000"/>
          <w:sz w:val="21"/>
          <w:szCs w:val="21"/>
        </w:rPr>
      </w:pPr>
    </w:p>
    <w:p w14:paraId="37EBA5C2">
      <w:pPr>
        <w:jc w:val="both"/>
        <w:textAlignment w:val="center"/>
        <w:rPr>
          <w:rFonts w:ascii="宋体" w:hAnsi="宋体" w:cs="宋体"/>
          <w:b/>
          <w:color w:val="000000"/>
          <w:sz w:val="21"/>
          <w:szCs w:val="21"/>
        </w:rPr>
      </w:pPr>
    </w:p>
    <w:p w14:paraId="642FEC52">
      <w:pPr>
        <w:jc w:val="both"/>
        <w:textAlignment w:val="center"/>
        <w:rPr>
          <w:rFonts w:ascii="宋体" w:hAnsi="宋体" w:cs="宋体"/>
          <w:b/>
          <w:color w:val="000000"/>
          <w:sz w:val="21"/>
          <w:szCs w:val="21"/>
        </w:rPr>
      </w:pPr>
    </w:p>
    <w:p w14:paraId="6F444F87">
      <w:pPr>
        <w:jc w:val="both"/>
        <w:textAlignment w:val="center"/>
        <w:rPr>
          <w:rFonts w:ascii="宋体" w:hAnsi="宋体" w:cs="宋体"/>
          <w:b/>
          <w:color w:val="000000"/>
          <w:sz w:val="21"/>
          <w:szCs w:val="21"/>
        </w:rPr>
      </w:pPr>
    </w:p>
    <w:p w14:paraId="7D0AA591">
      <w:pPr>
        <w:jc w:val="both"/>
        <w:textAlignment w:val="center"/>
        <w:rPr>
          <w:rFonts w:ascii="宋体" w:hAnsi="宋体" w:cs="宋体"/>
          <w:b/>
          <w:color w:val="000000"/>
          <w:sz w:val="21"/>
          <w:szCs w:val="21"/>
        </w:rPr>
      </w:pPr>
    </w:p>
    <w:p w14:paraId="67229DC9">
      <w:pPr>
        <w:jc w:val="both"/>
        <w:textAlignment w:val="center"/>
        <w:rPr>
          <w:rFonts w:ascii="宋体" w:hAnsi="宋体" w:cs="宋体"/>
          <w:b/>
          <w:color w:val="000000"/>
          <w:sz w:val="21"/>
          <w:szCs w:val="21"/>
        </w:rPr>
      </w:pPr>
    </w:p>
    <w:p w14:paraId="37CFD8D4">
      <w:pPr>
        <w:jc w:val="both"/>
        <w:textAlignment w:val="center"/>
        <w:rPr>
          <w:rFonts w:ascii="宋体" w:hAnsi="宋体" w:cs="宋体"/>
          <w:b/>
          <w:color w:val="000000"/>
          <w:sz w:val="21"/>
          <w:szCs w:val="21"/>
        </w:rPr>
      </w:pPr>
    </w:p>
    <w:p w14:paraId="18E1DF67">
      <w:pPr>
        <w:jc w:val="both"/>
        <w:textAlignment w:val="center"/>
        <w:rPr>
          <w:rFonts w:ascii="宋体" w:hAnsi="宋体" w:cs="宋体"/>
          <w:b/>
          <w:color w:val="000000"/>
          <w:sz w:val="21"/>
          <w:szCs w:val="21"/>
        </w:rPr>
      </w:pPr>
    </w:p>
    <w:p w14:paraId="6D61E031">
      <w:pPr>
        <w:jc w:val="both"/>
        <w:textAlignment w:val="center"/>
        <w:rPr>
          <w:rFonts w:ascii="宋体" w:hAnsi="宋体" w:cs="宋体"/>
          <w:b/>
          <w:color w:val="000000"/>
          <w:sz w:val="21"/>
          <w:szCs w:val="21"/>
        </w:rPr>
      </w:pPr>
    </w:p>
    <w:p w14:paraId="61D41FDC">
      <w:pPr>
        <w:jc w:val="both"/>
        <w:textAlignment w:val="center"/>
        <w:rPr>
          <w:rFonts w:ascii="宋体" w:hAnsi="宋体" w:cs="宋体"/>
          <w:b/>
          <w:color w:val="000000"/>
          <w:sz w:val="21"/>
          <w:szCs w:val="21"/>
        </w:rPr>
      </w:pPr>
    </w:p>
    <w:p w14:paraId="2F304877">
      <w:pPr>
        <w:jc w:val="both"/>
        <w:textAlignment w:val="center"/>
        <w:rPr>
          <w:rFonts w:ascii="宋体" w:hAnsi="宋体" w:cs="宋体"/>
          <w:b/>
          <w:color w:val="000000"/>
          <w:sz w:val="21"/>
          <w:szCs w:val="21"/>
        </w:rPr>
      </w:pPr>
    </w:p>
    <w:p w14:paraId="2C19BC05">
      <w:pPr>
        <w:jc w:val="both"/>
        <w:textAlignment w:val="center"/>
        <w:rPr>
          <w:rFonts w:ascii="宋体" w:hAnsi="宋体" w:cs="宋体"/>
          <w:b/>
          <w:color w:val="000000"/>
          <w:sz w:val="21"/>
          <w:szCs w:val="21"/>
        </w:rPr>
      </w:pPr>
    </w:p>
    <w:p w14:paraId="643020D7">
      <w:pPr>
        <w:jc w:val="both"/>
        <w:textAlignment w:val="center"/>
        <w:rPr>
          <w:rFonts w:ascii="宋体" w:hAnsi="宋体" w:cs="宋体"/>
          <w:b/>
          <w:color w:val="000000"/>
          <w:sz w:val="21"/>
          <w:szCs w:val="21"/>
        </w:rPr>
      </w:pPr>
    </w:p>
    <w:p w14:paraId="7487CF32">
      <w:pPr>
        <w:jc w:val="both"/>
        <w:textAlignment w:val="center"/>
        <w:rPr>
          <w:rFonts w:ascii="宋体" w:hAnsi="宋体" w:cs="宋体"/>
          <w:b/>
          <w:color w:val="000000"/>
          <w:sz w:val="21"/>
          <w:szCs w:val="21"/>
        </w:rPr>
      </w:pPr>
    </w:p>
    <w:p w14:paraId="01797672">
      <w:pPr>
        <w:jc w:val="both"/>
        <w:textAlignment w:val="center"/>
        <w:rPr>
          <w:rFonts w:ascii="宋体" w:hAnsi="宋体" w:cs="宋体"/>
          <w:b/>
          <w:color w:val="000000"/>
          <w:sz w:val="21"/>
          <w:szCs w:val="21"/>
        </w:rPr>
      </w:pPr>
    </w:p>
    <w:p w14:paraId="593F675D">
      <w:pPr>
        <w:jc w:val="both"/>
        <w:textAlignment w:val="center"/>
        <w:rPr>
          <w:rFonts w:ascii="宋体" w:hAnsi="宋体" w:cs="宋体"/>
          <w:b/>
          <w:color w:val="000000"/>
          <w:sz w:val="21"/>
          <w:szCs w:val="21"/>
        </w:rPr>
      </w:pPr>
    </w:p>
    <w:p w14:paraId="7A597476">
      <w:pPr>
        <w:jc w:val="both"/>
        <w:textAlignment w:val="center"/>
        <w:rPr>
          <w:rFonts w:ascii="宋体" w:hAnsi="宋体" w:cs="宋体"/>
          <w:b/>
          <w:color w:val="000000"/>
          <w:sz w:val="21"/>
          <w:szCs w:val="21"/>
        </w:rPr>
      </w:pPr>
    </w:p>
    <w:p w14:paraId="732BC594">
      <w:pPr>
        <w:jc w:val="both"/>
        <w:textAlignment w:val="center"/>
        <w:rPr>
          <w:rFonts w:ascii="宋体" w:hAnsi="宋体" w:cs="宋体"/>
          <w:b/>
          <w:color w:val="000000"/>
          <w:sz w:val="21"/>
          <w:szCs w:val="21"/>
        </w:rPr>
      </w:pPr>
    </w:p>
    <w:p w14:paraId="7AE948A0">
      <w:pPr>
        <w:jc w:val="both"/>
        <w:textAlignment w:val="center"/>
        <w:rPr>
          <w:rFonts w:ascii="宋体" w:hAnsi="宋体" w:cs="宋体"/>
          <w:b/>
          <w:color w:val="000000"/>
          <w:sz w:val="21"/>
          <w:szCs w:val="21"/>
        </w:rPr>
      </w:pPr>
    </w:p>
    <w:p w14:paraId="6BE2E344">
      <w:pPr>
        <w:jc w:val="both"/>
        <w:textAlignment w:val="center"/>
        <w:rPr>
          <w:rFonts w:ascii="宋体" w:hAnsi="宋体" w:cs="宋体"/>
          <w:b/>
          <w:color w:val="000000"/>
          <w:sz w:val="21"/>
          <w:szCs w:val="21"/>
        </w:rPr>
      </w:pPr>
    </w:p>
    <w:p w14:paraId="1C69BAA3">
      <w:pPr>
        <w:jc w:val="both"/>
        <w:textAlignment w:val="center"/>
        <w:rPr>
          <w:rFonts w:ascii="宋体" w:hAnsi="宋体" w:cs="宋体"/>
          <w:b/>
          <w:color w:val="000000"/>
          <w:sz w:val="21"/>
          <w:szCs w:val="21"/>
        </w:rPr>
      </w:pPr>
    </w:p>
    <w:p w14:paraId="1D3251C8">
      <w:pPr>
        <w:jc w:val="both"/>
        <w:textAlignment w:val="center"/>
        <w:rPr>
          <w:rFonts w:ascii="宋体" w:hAnsi="宋体" w:cs="宋体"/>
          <w:b/>
          <w:color w:val="000000"/>
          <w:sz w:val="21"/>
          <w:szCs w:val="21"/>
        </w:rPr>
      </w:pPr>
    </w:p>
    <w:p w14:paraId="507A66AA">
      <w:pPr>
        <w:jc w:val="both"/>
        <w:textAlignment w:val="center"/>
        <w:rPr>
          <w:rFonts w:ascii="宋体" w:hAnsi="宋体" w:cs="宋体"/>
          <w:b/>
          <w:color w:val="000000"/>
          <w:sz w:val="21"/>
          <w:szCs w:val="21"/>
        </w:rPr>
      </w:pPr>
    </w:p>
    <w:p w14:paraId="2ECE96C7">
      <w:pPr>
        <w:jc w:val="both"/>
        <w:textAlignment w:val="center"/>
        <w:rPr>
          <w:rFonts w:ascii="宋体" w:hAnsi="宋体" w:cs="宋体"/>
          <w:b/>
          <w:color w:val="000000"/>
          <w:sz w:val="21"/>
          <w:szCs w:val="21"/>
        </w:rPr>
      </w:pPr>
    </w:p>
    <w:p w14:paraId="27FC9DB2">
      <w:pPr>
        <w:jc w:val="both"/>
        <w:textAlignment w:val="center"/>
        <w:rPr>
          <w:rFonts w:ascii="宋体" w:hAnsi="宋体" w:cs="宋体"/>
          <w:b/>
          <w:color w:val="000000"/>
          <w:sz w:val="21"/>
          <w:szCs w:val="21"/>
        </w:rPr>
      </w:pPr>
    </w:p>
    <w:p w14:paraId="1A837BD2">
      <w:pPr>
        <w:jc w:val="both"/>
        <w:textAlignment w:val="center"/>
        <w:rPr>
          <w:rFonts w:ascii="宋体" w:hAnsi="宋体" w:cs="宋体"/>
          <w:b/>
          <w:color w:val="000000"/>
          <w:sz w:val="21"/>
          <w:szCs w:val="21"/>
        </w:rPr>
      </w:pPr>
    </w:p>
    <w:p w14:paraId="0325F533">
      <w:pPr>
        <w:jc w:val="both"/>
        <w:textAlignment w:val="center"/>
        <w:rPr>
          <w:rFonts w:ascii="宋体" w:hAnsi="宋体" w:cs="宋体"/>
          <w:b/>
          <w:color w:val="000000"/>
          <w:sz w:val="21"/>
          <w:szCs w:val="21"/>
        </w:rPr>
      </w:pPr>
    </w:p>
    <w:p w14:paraId="183EFC7A">
      <w:pPr>
        <w:jc w:val="both"/>
        <w:textAlignment w:val="center"/>
        <w:rPr>
          <w:rFonts w:ascii="宋体" w:hAnsi="宋体" w:cs="宋体"/>
          <w:b/>
          <w:color w:val="000000"/>
          <w:sz w:val="21"/>
          <w:szCs w:val="21"/>
        </w:rPr>
      </w:pPr>
    </w:p>
    <w:p w14:paraId="7D82199E">
      <w:pPr>
        <w:jc w:val="both"/>
        <w:textAlignment w:val="center"/>
        <w:rPr>
          <w:rFonts w:ascii="宋体" w:hAnsi="宋体" w:cs="宋体"/>
          <w:b/>
          <w:color w:val="000000"/>
          <w:sz w:val="21"/>
          <w:szCs w:val="21"/>
        </w:rPr>
      </w:pPr>
    </w:p>
    <w:p w14:paraId="47189529">
      <w:pPr>
        <w:jc w:val="both"/>
        <w:textAlignment w:val="center"/>
        <w:rPr>
          <w:rFonts w:ascii="宋体" w:hAnsi="宋体" w:cs="宋体"/>
          <w:b/>
          <w:color w:val="000000"/>
          <w:sz w:val="21"/>
          <w:szCs w:val="21"/>
        </w:rPr>
      </w:pPr>
    </w:p>
    <w:p w14:paraId="79862C0A">
      <w:pPr>
        <w:jc w:val="both"/>
        <w:textAlignment w:val="center"/>
        <w:rPr>
          <w:rFonts w:ascii="宋体" w:hAnsi="宋体" w:cs="宋体"/>
          <w:b/>
          <w:color w:val="000000"/>
          <w:sz w:val="21"/>
          <w:szCs w:val="21"/>
        </w:rPr>
      </w:pPr>
    </w:p>
    <w:p w14:paraId="604022C8">
      <w:pPr>
        <w:jc w:val="both"/>
        <w:textAlignment w:val="center"/>
        <w:rPr>
          <w:rFonts w:ascii="宋体" w:hAnsi="宋体" w:cs="宋体"/>
          <w:b/>
          <w:color w:val="000000"/>
          <w:sz w:val="21"/>
          <w:szCs w:val="21"/>
        </w:rPr>
      </w:pPr>
    </w:p>
    <w:p w14:paraId="10B374B6">
      <w:pPr>
        <w:jc w:val="both"/>
        <w:textAlignment w:val="center"/>
        <w:rPr>
          <w:rFonts w:ascii="宋体" w:hAnsi="宋体" w:cs="宋体"/>
          <w:b/>
          <w:color w:val="000000"/>
          <w:sz w:val="21"/>
          <w:szCs w:val="21"/>
        </w:rPr>
      </w:pPr>
    </w:p>
    <w:p w14:paraId="164BE2F7">
      <w:pPr>
        <w:jc w:val="both"/>
        <w:textAlignment w:val="center"/>
        <w:rPr>
          <w:rFonts w:ascii="宋体" w:hAnsi="宋体" w:cs="宋体"/>
          <w:b/>
          <w:color w:val="000000"/>
          <w:sz w:val="21"/>
          <w:szCs w:val="21"/>
        </w:rPr>
      </w:pPr>
    </w:p>
    <w:p w14:paraId="1C7D73AB">
      <w:pPr>
        <w:jc w:val="both"/>
        <w:textAlignment w:val="center"/>
        <w:rPr>
          <w:rFonts w:ascii="宋体" w:hAnsi="宋体" w:cs="宋体"/>
          <w:b/>
          <w:color w:val="000000"/>
          <w:sz w:val="21"/>
          <w:szCs w:val="21"/>
        </w:rPr>
      </w:pPr>
    </w:p>
    <w:p w14:paraId="1671680F">
      <w:pPr>
        <w:jc w:val="both"/>
        <w:textAlignment w:val="center"/>
        <w:rPr>
          <w:rFonts w:ascii="宋体" w:hAnsi="宋体" w:cs="宋体"/>
          <w:b/>
          <w:color w:val="000000"/>
          <w:sz w:val="21"/>
          <w:szCs w:val="21"/>
        </w:rPr>
      </w:pPr>
    </w:p>
    <w:p w14:paraId="1B2F39A5">
      <w:pPr>
        <w:jc w:val="both"/>
        <w:textAlignment w:val="center"/>
        <w:rPr>
          <w:rFonts w:ascii="宋体" w:hAnsi="宋体" w:cs="宋体"/>
          <w:b/>
          <w:color w:val="000000"/>
          <w:sz w:val="21"/>
          <w:szCs w:val="21"/>
        </w:rPr>
      </w:pPr>
    </w:p>
    <w:p w14:paraId="338D9D72">
      <w:pPr>
        <w:jc w:val="both"/>
        <w:textAlignment w:val="center"/>
        <w:rPr>
          <w:rFonts w:ascii="宋体" w:hAnsi="宋体" w:cs="宋体"/>
          <w:b/>
          <w:color w:val="000000"/>
          <w:sz w:val="21"/>
          <w:szCs w:val="21"/>
        </w:rPr>
      </w:pPr>
    </w:p>
    <w:p w14:paraId="4CB32776">
      <w:pPr>
        <w:jc w:val="both"/>
        <w:textAlignment w:val="center"/>
        <w:rPr>
          <w:rFonts w:ascii="宋体" w:hAnsi="宋体" w:cs="宋体"/>
          <w:b/>
          <w:color w:val="000000"/>
          <w:sz w:val="21"/>
          <w:szCs w:val="21"/>
        </w:rPr>
      </w:pPr>
    </w:p>
    <w:p w14:paraId="0BD2644C">
      <w:pPr>
        <w:jc w:val="both"/>
        <w:textAlignment w:val="center"/>
        <w:rPr>
          <w:rFonts w:ascii="宋体" w:hAnsi="宋体" w:cs="宋体"/>
          <w:b/>
          <w:color w:val="000000"/>
          <w:sz w:val="21"/>
          <w:szCs w:val="21"/>
        </w:rPr>
      </w:pPr>
    </w:p>
    <w:p w14:paraId="0DBB6F3A">
      <w:pPr>
        <w:jc w:val="both"/>
        <w:textAlignment w:val="center"/>
        <w:rPr>
          <w:rFonts w:ascii="宋体" w:hAnsi="宋体" w:cs="宋体"/>
          <w:b/>
          <w:color w:val="000000"/>
          <w:sz w:val="21"/>
          <w:szCs w:val="21"/>
        </w:rPr>
      </w:pPr>
    </w:p>
    <w:p w14:paraId="566B549A">
      <w:pPr>
        <w:jc w:val="both"/>
        <w:textAlignment w:val="center"/>
        <w:rPr>
          <w:rFonts w:ascii="宋体" w:hAnsi="宋体" w:cs="宋体"/>
          <w:b/>
          <w:color w:val="000000"/>
          <w:sz w:val="21"/>
          <w:szCs w:val="21"/>
        </w:rPr>
      </w:pPr>
    </w:p>
    <w:p w14:paraId="5DA49567">
      <w:pPr>
        <w:jc w:val="both"/>
        <w:textAlignment w:val="center"/>
        <w:rPr>
          <w:rFonts w:ascii="宋体" w:hAnsi="宋体" w:cs="宋体"/>
          <w:b/>
          <w:color w:val="000000"/>
          <w:sz w:val="21"/>
          <w:szCs w:val="21"/>
        </w:rPr>
      </w:pPr>
    </w:p>
    <w:p w14:paraId="3FD049E1">
      <w:pPr>
        <w:jc w:val="both"/>
        <w:textAlignment w:val="center"/>
        <w:rPr>
          <w:rFonts w:ascii="宋体" w:hAnsi="宋体" w:cs="宋体"/>
          <w:b/>
          <w:color w:val="000000"/>
          <w:sz w:val="21"/>
          <w:szCs w:val="21"/>
        </w:rPr>
      </w:pPr>
    </w:p>
    <w:p w14:paraId="670BCCFB">
      <w:pPr>
        <w:jc w:val="both"/>
        <w:textAlignment w:val="center"/>
        <w:rPr>
          <w:rFonts w:ascii="宋体" w:hAnsi="宋体" w:cs="宋体"/>
          <w:b/>
          <w:color w:val="000000"/>
          <w:sz w:val="21"/>
          <w:szCs w:val="21"/>
        </w:rPr>
      </w:pPr>
    </w:p>
    <w:p w14:paraId="4CE39A14">
      <w:pPr>
        <w:jc w:val="both"/>
        <w:textAlignment w:val="center"/>
        <w:rPr>
          <w:rFonts w:ascii="宋体" w:hAnsi="宋体" w:cs="宋体"/>
          <w:b/>
          <w:color w:val="000000"/>
          <w:sz w:val="21"/>
          <w:szCs w:val="21"/>
        </w:rPr>
      </w:pPr>
    </w:p>
    <w:p w14:paraId="12C0349B">
      <w:pPr>
        <w:jc w:val="both"/>
        <w:textAlignment w:val="center"/>
        <w:rPr>
          <w:rFonts w:ascii="宋体" w:hAnsi="宋体" w:cs="宋体"/>
          <w:b/>
          <w:color w:val="000000"/>
          <w:sz w:val="21"/>
          <w:szCs w:val="21"/>
        </w:rPr>
      </w:pPr>
    </w:p>
    <w:p w14:paraId="60F6C51A">
      <w:pPr>
        <w:jc w:val="both"/>
        <w:textAlignment w:val="center"/>
        <w:rPr>
          <w:rFonts w:ascii="宋体" w:hAnsi="宋体" w:cs="宋体"/>
          <w:b/>
          <w:color w:val="000000"/>
          <w:sz w:val="21"/>
          <w:szCs w:val="21"/>
        </w:rPr>
      </w:pPr>
    </w:p>
    <w:p w14:paraId="5A7B98F6">
      <w:pPr>
        <w:jc w:val="both"/>
        <w:textAlignment w:val="center"/>
        <w:rPr>
          <w:rFonts w:ascii="宋体" w:hAnsi="宋体" w:cs="宋体"/>
          <w:b/>
          <w:color w:val="000000"/>
          <w:sz w:val="21"/>
          <w:szCs w:val="21"/>
        </w:rPr>
      </w:pPr>
    </w:p>
    <w:p w14:paraId="09851F88">
      <w:pPr>
        <w:jc w:val="both"/>
        <w:textAlignment w:val="center"/>
        <w:rPr>
          <w:rFonts w:ascii="宋体" w:hAnsi="宋体" w:cs="宋体"/>
          <w:b/>
          <w:color w:val="000000"/>
          <w:sz w:val="21"/>
          <w:szCs w:val="21"/>
        </w:rPr>
      </w:pPr>
    </w:p>
    <w:p w14:paraId="42BD7603">
      <w:pPr>
        <w:jc w:val="both"/>
        <w:textAlignment w:val="center"/>
        <w:rPr>
          <w:rFonts w:ascii="宋体" w:hAnsi="宋体" w:cs="宋体"/>
          <w:b/>
          <w:color w:val="000000"/>
          <w:sz w:val="21"/>
          <w:szCs w:val="21"/>
        </w:rPr>
      </w:pPr>
    </w:p>
    <w:p w14:paraId="5B3ED944">
      <w:pPr>
        <w:jc w:val="both"/>
        <w:textAlignment w:val="center"/>
        <w:rPr>
          <w:rFonts w:ascii="宋体" w:hAnsi="宋体" w:cs="宋体"/>
          <w:b/>
          <w:color w:val="000000"/>
          <w:sz w:val="21"/>
          <w:szCs w:val="21"/>
        </w:rPr>
      </w:pPr>
    </w:p>
    <w:p w14:paraId="393974C4">
      <w:pPr>
        <w:jc w:val="both"/>
        <w:textAlignment w:val="center"/>
        <w:rPr>
          <w:rFonts w:ascii="宋体" w:hAnsi="宋体" w:cs="宋体"/>
          <w:b/>
          <w:color w:val="000000"/>
          <w:sz w:val="21"/>
          <w:szCs w:val="21"/>
        </w:rPr>
      </w:pPr>
    </w:p>
    <w:p w14:paraId="32EE0766">
      <w:pPr>
        <w:jc w:val="both"/>
        <w:textAlignment w:val="center"/>
        <w:rPr>
          <w:rFonts w:ascii="宋体" w:hAnsi="宋体" w:cs="宋体"/>
          <w:b/>
          <w:color w:val="000000"/>
          <w:sz w:val="21"/>
          <w:szCs w:val="21"/>
        </w:rPr>
      </w:pPr>
    </w:p>
    <w:p w14:paraId="11121737">
      <w:pPr>
        <w:jc w:val="both"/>
        <w:textAlignment w:val="center"/>
        <w:rPr>
          <w:rFonts w:ascii="宋体" w:hAnsi="宋体" w:cs="宋体"/>
          <w:b/>
          <w:color w:val="000000"/>
          <w:sz w:val="21"/>
          <w:szCs w:val="21"/>
        </w:rPr>
      </w:pPr>
    </w:p>
    <w:p w14:paraId="1125D76E">
      <w:pPr>
        <w:jc w:val="both"/>
        <w:textAlignment w:val="center"/>
        <w:rPr>
          <w:rFonts w:ascii="宋体" w:hAnsi="宋体" w:cs="宋体"/>
          <w:b/>
          <w:color w:val="000000"/>
          <w:sz w:val="21"/>
          <w:szCs w:val="21"/>
        </w:rPr>
      </w:pPr>
    </w:p>
    <w:p w14:paraId="3EE4E697">
      <w:pPr>
        <w:jc w:val="both"/>
        <w:textAlignment w:val="center"/>
        <w:rPr>
          <w:rFonts w:ascii="宋体" w:hAnsi="宋体" w:cs="宋体"/>
          <w:b/>
          <w:color w:val="000000"/>
          <w:sz w:val="21"/>
          <w:szCs w:val="21"/>
        </w:rPr>
      </w:pPr>
    </w:p>
    <w:p w14:paraId="47ED58A2">
      <w:pPr>
        <w:jc w:val="both"/>
        <w:textAlignment w:val="center"/>
        <w:rPr>
          <w:rFonts w:ascii="宋体" w:hAnsi="宋体" w:cs="宋体"/>
          <w:b/>
          <w:color w:val="000000"/>
          <w:sz w:val="21"/>
          <w:szCs w:val="21"/>
        </w:rPr>
      </w:pPr>
    </w:p>
    <w:p w14:paraId="71758491">
      <w:pPr>
        <w:jc w:val="both"/>
        <w:textAlignment w:val="center"/>
        <w:rPr>
          <w:rFonts w:ascii="宋体" w:hAnsi="宋体" w:cs="宋体"/>
          <w:b/>
          <w:color w:val="000000"/>
          <w:sz w:val="21"/>
          <w:szCs w:val="21"/>
        </w:rPr>
      </w:pPr>
    </w:p>
    <w:p w14:paraId="336C713F">
      <w:pPr>
        <w:jc w:val="both"/>
        <w:textAlignment w:val="center"/>
        <w:rPr>
          <w:rFonts w:ascii="宋体" w:hAnsi="宋体" w:cs="宋体"/>
          <w:b/>
          <w:color w:val="000000"/>
          <w:sz w:val="21"/>
          <w:szCs w:val="21"/>
        </w:rPr>
      </w:pPr>
    </w:p>
    <w:p w14:paraId="3F074436">
      <w:pPr>
        <w:jc w:val="both"/>
        <w:textAlignment w:val="center"/>
        <w:rPr>
          <w:rFonts w:ascii="宋体" w:hAnsi="宋体" w:cs="宋体"/>
          <w:b/>
          <w:color w:val="000000"/>
          <w:sz w:val="21"/>
          <w:szCs w:val="21"/>
        </w:rPr>
      </w:pPr>
    </w:p>
    <w:p w14:paraId="5755C706">
      <w:pPr>
        <w:jc w:val="both"/>
        <w:textAlignment w:val="center"/>
        <w:rPr>
          <w:rFonts w:ascii="宋体" w:hAnsi="宋体" w:cs="宋体"/>
          <w:b/>
          <w:color w:val="000000"/>
          <w:sz w:val="21"/>
          <w:szCs w:val="21"/>
        </w:rPr>
      </w:pPr>
    </w:p>
    <w:p w14:paraId="4BD424AE">
      <w:pPr>
        <w:keepNext w:val="0"/>
        <w:keepLines w:val="0"/>
        <w:pageBreakBefore w:val="0"/>
        <w:widowControl w:val="0"/>
        <w:kinsoku/>
        <w:wordWrap/>
        <w:overflowPunct/>
        <w:topLinePunct w:val="0"/>
        <w:autoSpaceDE/>
        <w:autoSpaceDN/>
        <w:bidi w:val="0"/>
        <w:adjustRightInd/>
        <w:snapToGrid/>
        <w:spacing w:line="320" w:lineRule="exact"/>
        <w:jc w:val="left"/>
        <w:textAlignment w:val="center"/>
        <w:rPr>
          <w:sz w:val="21"/>
          <w:szCs w:val="21"/>
        </w:rPr>
      </w:pPr>
      <w:bookmarkStart w:id="0" w:name="_GoBack"/>
      <w:bookmarkEnd w:id="0"/>
    </w:p>
    <w:sectPr>
      <w:headerReference r:id="rId3" w:type="default"/>
      <w:footerReference r:id="rId4" w:type="default"/>
      <w:footerReference r:id="rId5" w:type="even"/>
      <w:pgSz w:w="20636" w:h="14570" w:orient="landscape"/>
      <w:pgMar w:top="567" w:right="567" w:bottom="567" w:left="567" w:header="851" w:footer="992" w:gutter="0"/>
      <w:pgNumType w:start="1"/>
      <w:cols w:equalWidth="0" w:num="2">
        <w:col w:w="9538" w:space="425"/>
        <w:col w:w="9538"/>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E54E1">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849F96">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2849F96">
                    <w:pPr>
                      <w:pStyle w:val="2"/>
                    </w:pPr>
                    <w:r>
                      <w:fldChar w:fldCharType="begin"/>
                    </w:r>
                    <w:r>
                      <w:instrText xml:space="preserve"> PAGE  \* MERGEFORMAT </w:instrText>
                    </w:r>
                    <w:r>
                      <w:fldChar w:fldCharType="separate"/>
                    </w:r>
                    <w:r>
                      <w:t>1</w:t>
                    </w:r>
                    <w:r>
                      <w:fldChar w:fldCharType="end"/>
                    </w:r>
                  </w:p>
                </w:txbxContent>
              </v:textbox>
            </v:shape>
          </w:pict>
        </mc:Fallback>
      </mc:AlternateContent>
    </w:r>
  </w:p>
  <w:p w14:paraId="2E58246F">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72B19">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5AF99E">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25AF99E">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A391F"/>
  <w:p w14:paraId="6FCE0515">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IzNzdiOTkxYWZmMDg3ZDBiNmNlMWY1ZjNmZjg2MzMifQ=="/>
  </w:docVars>
  <w:rsids>
    <w:rsidRoot w:val="00C806B0"/>
    <w:rsid w:val="0000036A"/>
    <w:rsid w:val="000232A6"/>
    <w:rsid w:val="00043B54"/>
    <w:rsid w:val="00065CD2"/>
    <w:rsid w:val="001D7A06"/>
    <w:rsid w:val="00284433"/>
    <w:rsid w:val="002A1EC6"/>
    <w:rsid w:val="002E035E"/>
    <w:rsid w:val="00346363"/>
    <w:rsid w:val="003F38F2"/>
    <w:rsid w:val="004151FC"/>
    <w:rsid w:val="0064153B"/>
    <w:rsid w:val="006B16C5"/>
    <w:rsid w:val="00776133"/>
    <w:rsid w:val="007B0537"/>
    <w:rsid w:val="00855687"/>
    <w:rsid w:val="008A4727"/>
    <w:rsid w:val="008C07DE"/>
    <w:rsid w:val="009E611B"/>
    <w:rsid w:val="00A30CCE"/>
    <w:rsid w:val="00AC3E9C"/>
    <w:rsid w:val="00BC4F14"/>
    <w:rsid w:val="00BC62FB"/>
    <w:rsid w:val="00BF535F"/>
    <w:rsid w:val="00C02FC6"/>
    <w:rsid w:val="00C806B0"/>
    <w:rsid w:val="00E476EE"/>
    <w:rsid w:val="00EF035E"/>
    <w:rsid w:val="00FA429B"/>
    <w:rsid w:val="2881645F"/>
    <w:rsid w:val="665B6887"/>
    <w:rsid w:val="686B4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textRotate="1"/>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11219</Words>
  <Characters>11529</Characters>
  <Lines>90</Lines>
  <Paragraphs>25</Paragraphs>
  <TotalTime>8</TotalTime>
  <ScaleCrop>false</ScaleCrop>
  <LinksUpToDate>false</LinksUpToDate>
  <CharactersWithSpaces>11742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2024-09-06T03:45:00Z</dcterms:created>
  <dcterms:modified xsi:type="dcterms:W3CDTF">2024-11-13T13:59:32Z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18AC799A790B4EAA9FCAE7900B40A842_13</vt:lpwstr>
  </property>
</Properties>
</file>